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6F3AB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 w14:paraId="2A4373B9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59CAA22E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6口全千兆网管工业以太网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交换机</w:t>
      </w:r>
    </w:p>
    <w:p w14:paraId="02578CE0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/>
        </w:rPr>
      </w:pPr>
      <w:r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694690</wp:posOffset>
            </wp:positionH>
            <wp:positionV relativeFrom="paragraph">
              <wp:posOffset>86360</wp:posOffset>
            </wp:positionV>
            <wp:extent cx="3755390" cy="3079115"/>
            <wp:effectExtent l="0" t="0" r="16510" b="6985"/>
            <wp:wrapNone/>
            <wp:docPr id="9" name="图片 9" descr="IPS33064FM-2ON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PS33064FM-2ONV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5539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ONV-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IPS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3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3006FM</w:t>
      </w:r>
    </w:p>
    <w:p w14:paraId="000313E1">
      <w:pPr>
        <w:spacing w:before="100" w:beforeAutospacing="1" w:after="100" w:afterAutospacing="1" w:line="240" w:lineRule="auto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 w14:paraId="3E63E5EC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2D875836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4B056432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7E95BBA7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423495D1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5785252A">
      <w:pPr>
        <w:spacing w:before="100" w:beforeAutospacing="1" w:after="100" w:afterAutospacing="1" w:line="340" w:lineRule="exact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4715D2A0">
      <w:pPr>
        <w:pStyle w:val="8"/>
        <w:spacing w:before="100" w:beforeAutospacing="1" w:after="100" w:afterAutospacing="1" w:line="400" w:lineRule="exact"/>
        <w:ind w:firstLine="500" w:firstLineChars="250"/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ONV-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IPS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3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3006FM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系列是ONV自主研发的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全千兆二层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工业以太网光纤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交换机，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支持4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个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10/100/1000Base-T自适应RJ45端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+2个100/1000Base-X SFP光口插槽。所有端口支持线速转发。</w:t>
      </w:r>
    </w:p>
    <w:p w14:paraId="7F36BB06">
      <w:pPr>
        <w:pStyle w:val="8"/>
        <w:spacing w:before="100" w:beforeAutospacing="1" w:after="100" w:afterAutospacing="1" w:line="400" w:lineRule="exact"/>
        <w:ind w:firstLine="500" w:firstLineChars="25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ONV-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IPS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3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3006FM具备L2+网管功能，支持IPV4管理，支持静态路由转发，支持完备的安全防护机制、完善的ACL/QoS策略和丰富的VLAN功能，易于管理维护。</w:t>
      </w:r>
      <w:r>
        <w:rPr>
          <w:rFonts w:hint="eastAsia" w:ascii="微软雅黑" w:hAnsi="微软雅黑" w:eastAsia="微软雅黑" w:cs="微软雅黑"/>
          <w:lang w:val="en-US" w:eastAsia="zh-CN"/>
        </w:rPr>
        <w:t>支持网络冗余协议RSTP(&lt;50ms)以及（ITU-T G.8032）ERPS(&lt;20ms)提升链路备份和网路可靠性，保证重要应用的不间断通讯。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根据实际应用需要，通过Web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CLI、SNMP、Telnet等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网管方式，进行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端口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管理，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路由地址管理，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端口流量控制，VLAN划分，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IGMP、安全策略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等多种应用业务配置。</w:t>
      </w:r>
      <w:r>
        <w:rPr>
          <w:rFonts w:hint="eastAsia" w:ascii="微软雅黑" w:hAnsi="微软雅黑" w:eastAsia="微软雅黑" w:cs="微软雅黑"/>
          <w:sz w:val="20"/>
          <w:szCs w:val="20"/>
          <w:lang w:val="en-US" w:eastAsia="zh-CN"/>
        </w:rPr>
        <w:t>ONV-IPS33006FM</w:t>
      </w:r>
      <w:r>
        <w:rPr>
          <w:rFonts w:hint="eastAsia" w:ascii="微软雅黑" w:hAnsi="微软雅黑" w:eastAsia="微软雅黑" w:cs="Times New Roman"/>
          <w:color w:val="000000"/>
          <w:sz w:val="20"/>
          <w:szCs w:val="20"/>
          <w:shd w:val="clear" w:color="auto" w:fill="FFFFFF"/>
          <w:lang w:val="en-US" w:eastAsia="zh-CN"/>
        </w:rPr>
        <w:t>工业级系列产品，完全遵循工业产品设计与用料，外壳采用铝合金增强散热效能，具备极佳的工业现场环境适应性（包含机械稳定性、气候环境适应性、电磁环境适应性等）、防护等级达到IP40、支持双冗余供电、低功耗无风扇散热技术、MTBF 平均无故障工作时间可达35 年、超长5 年质保。</w:t>
      </w:r>
      <w:r>
        <w:rPr>
          <w:rFonts w:hint="eastAsia" w:ascii="微软雅黑" w:hAnsi="微软雅黑" w:eastAsia="微软雅黑" w:cs="微软雅黑"/>
        </w:rPr>
        <w:t>适合</w:t>
      </w:r>
      <w:r>
        <w:rPr>
          <w:rFonts w:hint="eastAsia" w:ascii="微软雅黑" w:hAnsi="微软雅黑" w:eastAsia="微软雅黑" w:cs="微软雅黑"/>
          <w:lang w:val="en-US" w:eastAsia="zh-CN"/>
        </w:rPr>
        <w:t>智能交通</w:t>
      </w:r>
      <w:r>
        <w:rPr>
          <w:rFonts w:hint="eastAsia" w:ascii="微软雅黑" w:hAnsi="微软雅黑" w:eastAsia="微软雅黑" w:cs="微软雅黑"/>
        </w:rPr>
        <w:t>、</w:t>
      </w:r>
      <w:r>
        <w:rPr>
          <w:rFonts w:hint="eastAsia" w:ascii="微软雅黑" w:hAnsi="微软雅黑" w:eastAsia="微软雅黑" w:cs="微软雅黑"/>
          <w:lang w:val="en-US" w:eastAsia="zh-CN"/>
        </w:rPr>
        <w:t>轨道交通、电力行业</w:t>
      </w:r>
      <w:r>
        <w:rPr>
          <w:rFonts w:hint="eastAsia" w:ascii="微软雅黑" w:hAnsi="微软雅黑" w:eastAsia="微软雅黑" w:cs="微软雅黑"/>
        </w:rPr>
        <w:t>、</w:t>
      </w:r>
      <w:r>
        <w:rPr>
          <w:rFonts w:hint="eastAsia" w:ascii="微软雅黑" w:hAnsi="微软雅黑" w:eastAsia="微软雅黑" w:cs="微软雅黑"/>
          <w:lang w:val="en-US" w:eastAsia="zh-CN"/>
        </w:rPr>
        <w:t>矿业开采、石油、海运、冶金及绿色能源建设等工业场景</w:t>
      </w:r>
      <w:r>
        <w:rPr>
          <w:rFonts w:hint="eastAsia" w:ascii="微软雅黑" w:hAnsi="微软雅黑" w:eastAsia="微软雅黑" w:cs="微软雅黑"/>
        </w:rPr>
        <w:t>组建经济高效</w:t>
      </w:r>
      <w:r>
        <w:rPr>
          <w:rFonts w:hint="eastAsia" w:ascii="微软雅黑" w:hAnsi="微软雅黑" w:eastAsia="微软雅黑" w:cs="微软雅黑"/>
          <w:lang w:eastAsia="zh-CN"/>
        </w:rPr>
        <w:t>、</w:t>
      </w:r>
      <w:r>
        <w:rPr>
          <w:rFonts w:hint="eastAsia" w:ascii="微软雅黑" w:hAnsi="微软雅黑" w:eastAsia="微软雅黑" w:cs="微软雅黑"/>
          <w:lang w:val="en-US" w:eastAsia="zh-CN"/>
        </w:rPr>
        <w:t>稳定、可靠</w:t>
      </w:r>
      <w:r>
        <w:rPr>
          <w:rFonts w:hint="eastAsia" w:ascii="微软雅黑" w:hAnsi="微软雅黑" w:eastAsia="微软雅黑" w:cs="微软雅黑"/>
        </w:rPr>
        <w:t>的</w:t>
      </w:r>
      <w:r>
        <w:rPr>
          <w:rFonts w:hint="eastAsia" w:ascii="微软雅黑" w:hAnsi="微软雅黑" w:eastAsia="微软雅黑" w:cs="微软雅黑"/>
          <w:lang w:val="en-US" w:eastAsia="zh-CN"/>
        </w:rPr>
        <w:t>通信</w:t>
      </w:r>
      <w:r>
        <w:rPr>
          <w:rFonts w:hint="eastAsia" w:ascii="微软雅黑" w:hAnsi="微软雅黑" w:eastAsia="微软雅黑" w:cs="微软雅黑"/>
        </w:rPr>
        <w:t>网络。</w:t>
      </w:r>
    </w:p>
    <w:p w14:paraId="303D8480">
      <w:pPr>
        <w:pStyle w:val="8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377785B4"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千</w:t>
      </w:r>
      <w:r>
        <w:rPr>
          <w:rFonts w:hint="eastAsia" w:ascii="宋体" w:hAnsi="宋体"/>
          <w:b/>
          <w:color w:val="0070C0"/>
          <w:szCs w:val="21"/>
        </w:rPr>
        <w:t>兆接入，</w:t>
      </w:r>
      <w:r>
        <w:rPr>
          <w:rFonts w:hint="eastAsia" w:ascii="宋体" w:hAnsi="宋体"/>
          <w:b/>
          <w:color w:val="0070C0"/>
          <w:szCs w:val="21"/>
          <w:lang w:val="en-US" w:eastAsia="zh-CN"/>
        </w:rPr>
        <w:t>光口</w:t>
      </w:r>
      <w:r>
        <w:rPr>
          <w:rFonts w:hint="eastAsia" w:ascii="宋体" w:hAnsi="宋体"/>
          <w:b/>
          <w:color w:val="0070C0"/>
          <w:szCs w:val="21"/>
        </w:rPr>
        <w:t>上行</w:t>
      </w:r>
    </w:p>
    <w:p w14:paraId="09A01401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全系列支持“</w:t>
      </w:r>
      <w:r>
        <w:rPr>
          <w:rFonts w:hint="eastAsia" w:ascii="宋体" w:hAnsi="宋体"/>
          <w:szCs w:val="21"/>
          <w:lang w:val="en-US" w:eastAsia="zh-CN"/>
        </w:rPr>
        <w:t>千兆</w:t>
      </w:r>
      <w:r>
        <w:rPr>
          <w:rFonts w:hint="eastAsia" w:ascii="宋体" w:hAnsi="宋体"/>
          <w:szCs w:val="21"/>
        </w:rPr>
        <w:t>以太网口+</w:t>
      </w:r>
      <w:r>
        <w:rPr>
          <w:rFonts w:hint="eastAsia" w:ascii="宋体" w:hAnsi="宋体"/>
          <w:szCs w:val="21"/>
          <w:lang w:val="en-US" w:eastAsia="zh-CN"/>
        </w:rPr>
        <w:t>千兆</w:t>
      </w:r>
      <w:r>
        <w:rPr>
          <w:rFonts w:hint="eastAsia" w:ascii="宋体" w:hAnsi="宋体"/>
          <w:szCs w:val="21"/>
        </w:rPr>
        <w:t>光口”组合，方便用户灵活组网，满足各种场景组网需求；</w:t>
      </w:r>
    </w:p>
    <w:p w14:paraId="272344CF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所有端口支持无阻塞线速转发，传输更流畅。</w:t>
      </w:r>
    </w:p>
    <w:p w14:paraId="5DBD2253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支持IEEE 802.3x全双工流控和Backpressure半双工流控。</w:t>
      </w:r>
    </w:p>
    <w:p w14:paraId="7819FA51">
      <w:pPr>
        <w:spacing w:line="400" w:lineRule="atLeast"/>
        <w:rPr>
          <w:rFonts w:ascii="宋体" w:hAnsi="宋体"/>
          <w:szCs w:val="21"/>
        </w:rPr>
      </w:pPr>
    </w:p>
    <w:p w14:paraId="775735D8"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强大业务处理能力</w:t>
      </w:r>
    </w:p>
    <w:p w14:paraId="4A3FFEE4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支持IEEE 802.1Q VLAN，用户可以按需求灵活划分VLAN</w:t>
      </w:r>
    </w:p>
    <w:p w14:paraId="20CFBACB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支持QoS，支持基于端口、基于802.1P和基于DSCP的三种优先级模式和SP、WRR、</w:t>
      </w:r>
      <w:r>
        <w:rPr>
          <w:rFonts w:hint="eastAsia" w:ascii="宋体" w:hAnsi="宋体"/>
          <w:szCs w:val="21"/>
          <w:lang w:val="en-US" w:eastAsia="zh-CN"/>
        </w:rPr>
        <w:t>WFQ</w:t>
      </w:r>
      <w:r>
        <w:rPr>
          <w:rFonts w:hint="eastAsia" w:ascii="宋体" w:hAnsi="宋体"/>
          <w:szCs w:val="21"/>
        </w:rPr>
        <w:t>四种队列调度算法。</w:t>
      </w:r>
    </w:p>
    <w:p w14:paraId="3E03EB4D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支持ACL，通过配置匹配规则、处理操作来实现对数据包的过滤，提供灵活的安全访问控制策略。</w:t>
      </w:r>
    </w:p>
    <w:p w14:paraId="71B099EB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支持IGMP V1/V2组播协议，支持IGMP Snooping，满足多终端高清视频监控和视频会议接入需求。</w:t>
      </w:r>
    </w:p>
    <w:p w14:paraId="43C1CA4A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支持环网RSTP生</w:t>
      </w:r>
      <w:r>
        <w:rPr>
          <w:rFonts w:hint="eastAsia" w:ascii="宋体" w:hAnsi="宋体"/>
          <w:szCs w:val="21"/>
          <w:lang w:val="en-US" w:eastAsia="zh-CN"/>
        </w:rPr>
        <w:t>成</w:t>
      </w:r>
      <w:r>
        <w:rPr>
          <w:rFonts w:hint="eastAsia" w:ascii="宋体" w:hAnsi="宋体"/>
          <w:szCs w:val="21"/>
        </w:rPr>
        <w:t>树协议，消除二层环路、实现链路备份。</w:t>
      </w:r>
    </w:p>
    <w:p w14:paraId="514219E9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支持静态汇聚和动态汇聚，有效增加链路带宽，实现负载均衡、链路备份，提高链路可靠性。</w:t>
      </w:r>
    </w:p>
    <w:p w14:paraId="38B0BFAC">
      <w:pPr>
        <w:spacing w:line="360" w:lineRule="auto"/>
        <w:rPr>
          <w:rFonts w:ascii="宋体" w:hAnsi="宋体"/>
          <w:szCs w:val="21"/>
        </w:rPr>
      </w:pPr>
    </w:p>
    <w:p w14:paraId="77582208"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完备的安全防护机制</w:t>
      </w:r>
    </w:p>
    <w:p w14:paraId="2A7FEC3B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支持802.1X认证，为局域网计算机提供认证功能，并根据认证结果对受控端口的授权状态进行控制。</w:t>
      </w:r>
    </w:p>
    <w:p w14:paraId="3CBAD54F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支持端口隔离</w:t>
      </w:r>
      <w:r>
        <w:rPr>
          <w:rFonts w:hint="eastAsia" w:ascii="宋体" w:hAnsi="宋体"/>
          <w:szCs w:val="21"/>
        </w:rPr>
        <w:t>。</w:t>
      </w:r>
    </w:p>
    <w:p w14:paraId="2C820AED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支持端口广播风暴抑制。</w:t>
      </w:r>
    </w:p>
    <w:p w14:paraId="5FEB4CA1">
      <w:pPr>
        <w:pStyle w:val="8"/>
        <w:numPr>
          <w:ilvl w:val="0"/>
          <w:numId w:val="0"/>
        </w:numPr>
        <w:spacing w:line="400" w:lineRule="atLeast"/>
        <w:ind w:leftChars="0"/>
        <w:rPr>
          <w:rFonts w:ascii="宋体" w:hAnsi="宋体"/>
          <w:szCs w:val="21"/>
        </w:rPr>
      </w:pPr>
    </w:p>
    <w:p w14:paraId="43B73992">
      <w:pPr>
        <w:pStyle w:val="8"/>
        <w:spacing w:line="20" w:lineRule="atLeast"/>
        <w:ind w:left="360" w:firstLine="0" w:firstLineChars="0"/>
        <w:rPr>
          <w:rFonts w:ascii="宋体" w:hAnsi="宋体"/>
          <w:szCs w:val="21"/>
        </w:rPr>
      </w:pPr>
    </w:p>
    <w:p w14:paraId="033E6DBC"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设备稳定可靠</w:t>
      </w:r>
    </w:p>
    <w:p w14:paraId="520542CD">
      <w:pPr>
        <w:spacing w:line="360" w:lineRule="auto"/>
        <w:rPr>
          <w:rFonts w:ascii="宋体" w:hAnsi="宋体"/>
          <w:szCs w:val="21"/>
        </w:rPr>
      </w:pPr>
      <w:bookmarkStart w:id="0" w:name="OLE_LINK2"/>
      <w:bookmarkStart w:id="1" w:name="OLE_LINK1"/>
      <w:r>
        <w:rPr>
          <w:rFonts w:hint="eastAsia" w:ascii="宋体" w:hAnsi="宋体"/>
          <w:szCs w:val="21"/>
        </w:rPr>
        <w:t>◇</w:t>
      </w:r>
      <w:bookmarkEnd w:id="0"/>
      <w:bookmarkEnd w:id="1"/>
      <w:r>
        <w:rPr>
          <w:rFonts w:hint="eastAsia" w:ascii="宋体" w:hAnsi="宋体"/>
          <w:szCs w:val="21"/>
        </w:rPr>
        <w:t xml:space="preserve"> 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主机低功耗、无风扇静音设计，铝合金材质金属外壳，散热优良，保证产品稳定运行。</w:t>
      </w:r>
    </w:p>
    <w:p w14:paraId="2BDCCCA2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设备满足国家CCC标准，完全符合CE、FCC、RoHS安规要求，使用安全可靠。</w:t>
      </w:r>
    </w:p>
    <w:p w14:paraId="523502AB">
      <w:pPr>
        <w:spacing w:line="360" w:lineRule="auto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  <w:r>
        <w:rPr>
          <w:rFonts w:hint="eastAsia" w:ascii="宋体" w:hAnsi="宋体"/>
          <w:szCs w:val="21"/>
        </w:rPr>
        <w:t>◇ 用户可通过电源指示灯(PWR)、</w:t>
      </w:r>
      <w:r>
        <w:rPr>
          <w:rFonts w:hint="eastAsia" w:ascii="宋体" w:hAnsi="宋体"/>
          <w:szCs w:val="21"/>
          <w:lang w:val="en-US" w:eastAsia="zh-CN"/>
        </w:rPr>
        <w:t>系统运行指示灯（SYS）、</w:t>
      </w:r>
      <w:r>
        <w:rPr>
          <w:rFonts w:hint="eastAsia" w:ascii="宋体" w:hAnsi="宋体"/>
          <w:szCs w:val="21"/>
        </w:rPr>
        <w:t>端口状态指示灯（Link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L/A</w:t>
      </w:r>
      <w:r>
        <w:rPr>
          <w:rFonts w:hint="eastAsia" w:ascii="宋体" w:hAnsi="宋体"/>
          <w:szCs w:val="21"/>
        </w:rPr>
        <w:t>）、轻松了解设备工作状态。</w:t>
      </w:r>
    </w:p>
    <w:p w14:paraId="1C13D1CC"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  <w:lang w:val="en-US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轻松的运维管理</w:t>
      </w:r>
    </w:p>
    <w:p w14:paraId="15AEA9DD">
      <w:pPr>
        <w:spacing w:line="360" w:lineRule="auto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/>
          <w:szCs w:val="21"/>
        </w:rPr>
        <w:t xml:space="preserve">◇ </w:t>
      </w:r>
      <w:r>
        <w:rPr>
          <w:rFonts w:hint="eastAsia" w:ascii="宋体" w:hAnsi="宋体" w:cs="宋体"/>
          <w:color w:val="000000"/>
          <w:kern w:val="0"/>
          <w:szCs w:val="21"/>
        </w:rPr>
        <w:t>支持Web网管、CLI命令行（Console，Telnet）、SNMP（V1/V2/V3）、Telnet等多样化的管理和维护方式。</w:t>
      </w:r>
    </w:p>
    <w:p w14:paraId="71B48369">
      <w:pPr>
        <w:widowControl/>
        <w:spacing w:line="360" w:lineRule="auto"/>
        <w:jc w:val="left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◇端口流量统计，便于网络优化和改造。</w:t>
      </w:r>
    </w:p>
    <w:p w14:paraId="1E17B296">
      <w:pPr>
        <w:widowControl/>
        <w:spacing w:line="360" w:lineRule="auto"/>
        <w:jc w:val="left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◇支持LLDP，方便网络管理系统查询及判断链路的通信状况。</w:t>
      </w:r>
    </w:p>
    <w:p w14:paraId="582FD08B">
      <w:pPr>
        <w:widowControl/>
        <w:spacing w:line="360" w:lineRule="auto"/>
        <w:jc w:val="left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◇支持CPU监控、内存监控、Ping检测。</w:t>
      </w:r>
    </w:p>
    <w:p w14:paraId="077111F5">
      <w:pPr>
        <w:pStyle w:val="8"/>
        <w:spacing w:before="100" w:beforeAutospacing="1" w:after="100" w:afterAutospacing="1" w:line="20" w:lineRule="atLeast"/>
        <w:ind w:firstLine="0" w:firstLineChars="0"/>
        <w:outlineLvl w:val="1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1F4BBAAE">
      <w:pPr>
        <w:pStyle w:val="8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4"/>
        <w:tblW w:w="8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6647"/>
      </w:tblGrid>
      <w:tr w14:paraId="4201A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77" w:type="dxa"/>
            <w:shd w:val="clear" w:color="auto" w:fill="1E4D78" w:themeFill="accent1" w:themeFillShade="7F"/>
            <w:vAlign w:val="center"/>
          </w:tcPr>
          <w:p w14:paraId="4D2E5499">
            <w:pPr>
              <w:widowControl/>
              <w:jc w:val="center"/>
              <w:rPr>
                <w:rFonts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宋体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647" w:type="dxa"/>
            <w:shd w:val="clear" w:color="auto" w:fill="1E4D78" w:themeFill="accent1" w:themeFillShade="7F"/>
            <w:vAlign w:val="center"/>
          </w:tcPr>
          <w:p w14:paraId="48C3A141">
            <w:pPr>
              <w:widowControl/>
              <w:jc w:val="center"/>
              <w:rPr>
                <w:rFonts w:hint="default" w:ascii="Arial" w:hAnsi="Arial" w:eastAsia="宋体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 IPS</w:t>
            </w:r>
            <w:r>
              <w:rPr>
                <w:rFonts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3</w:t>
            </w: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3006</w:t>
            </w: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FM</w:t>
            </w:r>
          </w:p>
        </w:tc>
      </w:tr>
      <w:tr w14:paraId="1A5DD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7665B4F9">
            <w:pPr>
              <w:widowControl/>
              <w:jc w:val="left"/>
              <w:rPr>
                <w:rFonts w:hint="default" w:ascii="Arial" w:hAnsi="Arial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6AD2D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9E7D77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01CF8F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个10/100/1000Base-T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口（Data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1A16860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000Base-X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SFP上联光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</w:p>
          <w:p w14:paraId="7FA87F7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1个Console RS232控制口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115200，N，8，1）</w:t>
            </w:r>
          </w:p>
          <w:p w14:paraId="6D65D266">
            <w:pP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2组V+，V- 冗余DC电源接口（5P凤凰端子）</w:t>
            </w:r>
          </w:p>
        </w:tc>
      </w:tr>
      <w:tr w14:paraId="02E3F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0BFAFB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0E14DA5E">
            <w:pPr>
              <w:pStyle w:val="9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自动侦测，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7842A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409385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4CDB59ED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 ： 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162AB9E5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 xml:space="preserve">100BASE-TX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689CBAC5">
            <w:pPr>
              <w:pStyle w:val="9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BASE-T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71E0A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BF5B18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762E8309">
            <w:pPr>
              <w:pStyle w:val="9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千</w:t>
            </w:r>
            <w:r>
              <w:rPr>
                <w:rFonts w:hAnsi="宋体"/>
                <w:color w:val="auto"/>
                <w:sz w:val="18"/>
                <w:szCs w:val="18"/>
              </w:rPr>
              <w:t>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光纤接口，默认不配套光模块，需要另购，（可选订单模/多模、单纤/双纤光模块，LC）</w:t>
            </w:r>
          </w:p>
        </w:tc>
      </w:tr>
      <w:tr w14:paraId="163DE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F0BB06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273950DA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 w14:paraId="5BCA67C1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6C51EEFF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       工作波长：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50F56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785DA3FD">
            <w:pPr>
              <w:pStyle w:val="9"/>
              <w:rPr>
                <w:rFonts w:hint="eastAsia" w:hAnsi="宋体"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交换芯片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7226B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AA18FF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网管类型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BE36C18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L2+</w:t>
            </w:r>
          </w:p>
        </w:tc>
      </w:tr>
      <w:tr w14:paraId="47D6F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F44907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561AD2A7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1C34D972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57E11E02">
            <w:pPr>
              <w:pStyle w:val="9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 w14:paraId="0A067A42">
            <w:pPr>
              <w:pStyle w:val="9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IEEE802.3z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X；</w:t>
            </w:r>
          </w:p>
          <w:p w14:paraId="0EFDDBB9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2ACF2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723199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798B502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64EC8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C809B5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49E615F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79C9D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C20E42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3FAF74A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8.93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 w14:paraId="5AF43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140EA8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1CA3FDD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 w14:paraId="757C3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87F0A1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877097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</w:p>
        </w:tc>
      </w:tr>
      <w:tr w14:paraId="422AA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5BF82A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3F86E08F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10K</w:t>
            </w:r>
          </w:p>
        </w:tc>
      </w:tr>
      <w:tr w14:paraId="26D7F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AAFB9B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25720BBF">
            <w:pPr>
              <w:pStyle w:val="9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/系统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指示灯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SYS</w:t>
            </w:r>
            <w:r>
              <w:rPr>
                <w:rFonts w:hAnsi="宋体"/>
                <w:color w:val="auto"/>
                <w:sz w:val="18"/>
                <w:szCs w:val="18"/>
              </w:rPr>
              <w:t>(绿色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)； </w:t>
            </w:r>
            <w:r>
              <w:rPr>
                <w:rFonts w:hint="eastAsia" w:hAnsi="宋体"/>
                <w:sz w:val="18"/>
                <w:szCs w:val="18"/>
              </w:rPr>
              <w:t>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（黄色）；光口指示灯：L/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hAnsi="宋体"/>
                <w:sz w:val="18"/>
                <w:szCs w:val="18"/>
              </w:rPr>
              <w:t>（绿色）</w:t>
            </w:r>
          </w:p>
        </w:tc>
      </w:tr>
      <w:tr w14:paraId="40F8F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79CA40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键还原开关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66CAB4E8">
            <w:pPr>
              <w:pStyle w:val="9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有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（按住开关10秒后松开，即可恢复出厂设置）</w:t>
            </w:r>
          </w:p>
        </w:tc>
      </w:tr>
      <w:tr w14:paraId="30D0C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000000" w:fill="2E75B5" w:themeFill="accent1" w:themeFillShade="BF"/>
            <w:vAlign w:val="center"/>
          </w:tcPr>
          <w:p w14:paraId="3431FBA9">
            <w:pPr>
              <w:widowControl/>
              <w:jc w:val="left"/>
              <w:rPr>
                <w:rFonts w:hint="eastAsia" w:ascii="宋体" w:hAnsi="宋体" w:cs="宋体"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电源特征</w:t>
            </w:r>
          </w:p>
        </w:tc>
      </w:tr>
      <w:tr w14:paraId="35AFE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D59A45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工作</w:t>
            </w:r>
            <w:r>
              <w:rPr>
                <w:rFonts w:hint="default" w:ascii="Arial" w:hAnsi="Arial" w:cs="Arial"/>
                <w:kern w:val="0"/>
                <w:sz w:val="18"/>
                <w:szCs w:val="18"/>
              </w:rPr>
              <w:t>电压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26F409AA"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sz w:val="18"/>
                <w:szCs w:val="18"/>
                <w:lang w:val="en-US" w:eastAsia="zh-CN"/>
              </w:rPr>
              <w:t>直流DC12-48V超宽供电电压，工规5P凤凰端子连接，支持防反接保护</w:t>
            </w:r>
          </w:p>
        </w:tc>
      </w:tr>
      <w:tr w14:paraId="41B75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01E6D8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6647" w:type="dxa"/>
            <w:shd w:val="clear" w:color="auto" w:fill="auto"/>
            <w:vAlign w:val="top"/>
          </w:tcPr>
          <w:p w14:paraId="2581DF89"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2D6A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1BEDE9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08B2E6A6">
            <w:pPr>
              <w:pStyle w:val="9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无，可选购工业电源24V/24W，见配件信息表选购使用</w:t>
            </w:r>
          </w:p>
        </w:tc>
      </w:tr>
      <w:tr w14:paraId="46B1B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393997BD">
            <w:pPr>
              <w:pStyle w:val="9"/>
              <w:rPr>
                <w:rFonts w:hint="eastAsia" w:hAnsi="宋体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物理</w:t>
            </w: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规格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001D8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25083A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B7F18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°C；5%～90% RH无凝结</w:t>
            </w:r>
          </w:p>
        </w:tc>
      </w:tr>
      <w:tr w14:paraId="03D34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057175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976432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 w14:paraId="7AF31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276845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6647" w:type="dxa"/>
            <w:shd w:val="clear" w:color="000000" w:fill="FFFFFF"/>
            <w:vAlign w:val="center"/>
          </w:tcPr>
          <w:p w14:paraId="3AFF9E9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145*134.5*47.5mm</w:t>
            </w:r>
          </w:p>
        </w:tc>
      </w:tr>
      <w:tr w14:paraId="12771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9DE9AB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70DC8B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7CD4C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0D94F7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安装方式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EDFDBF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桌面式、35mm DIN导轨式安装</w:t>
            </w:r>
          </w:p>
        </w:tc>
      </w:tr>
      <w:tr w14:paraId="21255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700AA23F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013D1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B22252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FAD482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0674488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  <w:p w14:paraId="02EA375F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IEC61000-4-2（ESD）：±8kV接触放电，±15kV空气放电</w:t>
            </w:r>
          </w:p>
          <w:p w14:paraId="21F474B1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IEC61000-4-3（RS）：10V/m（80~1000MHz）</w:t>
            </w:r>
          </w:p>
          <w:p w14:paraId="47AF47E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IEC61000-4-4（EFT）：电源线：±4kV；数据线：±2kV</w:t>
            </w:r>
          </w:p>
          <w:p w14:paraId="2A1CF2C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IEC61000-4-5（Surge）：电源线：CM±4kV/DM±2kV；数据线：±4kV</w:t>
            </w:r>
          </w:p>
          <w:p w14:paraId="4F8CA100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IEC61000-4-6（射频传导）：10V（150kHz~80MHz）</w:t>
            </w:r>
          </w:p>
          <w:p w14:paraId="4890242A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IEC61000-4-8（工频磁场）：100A/m持续；1000A/m ，1s to 3s</w:t>
            </w:r>
          </w:p>
          <w:p w14:paraId="58952AB7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IEC61000-4-9（脉冲磁场）：1000A/m</w:t>
            </w:r>
          </w:p>
          <w:p w14:paraId="2F0534F8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IEC61000-4-10（阻尼振荡）：30A/m  1MHz</w:t>
            </w:r>
          </w:p>
          <w:p w14:paraId="06929922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IEC61000-4-12/18（震荡波）：CM 2.5kV，DM 1kV</w:t>
            </w:r>
          </w:p>
          <w:p w14:paraId="152ABD9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IEC61000-4-16（共模传导）：30V持续；300V，1s</w:t>
            </w:r>
          </w:p>
          <w:p w14:paraId="0A5CD5EB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 xml:space="preserve">FCC Part 15/CISPR22（EN55022）：Class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-SA"/>
              </w:rPr>
              <w:t>B</w:t>
            </w:r>
          </w:p>
          <w:p w14:paraId="2DD3E03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IEC61000-6-2（通用工业标准）</w:t>
            </w:r>
          </w:p>
        </w:tc>
      </w:tr>
      <w:tr w14:paraId="72D28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FE2FDD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kern w:val="0"/>
                <w:sz w:val="18"/>
                <w:szCs w:val="18"/>
                <w:lang w:val="en-US" w:eastAsia="zh-CN"/>
              </w:rPr>
              <w:t>机械特性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5F884C9">
            <w:pPr>
              <w:pStyle w:val="11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IEC60068-2-6（抗振动）</w:t>
            </w:r>
          </w:p>
          <w:p w14:paraId="28A139EA">
            <w:pPr>
              <w:pStyle w:val="11"/>
              <w:spacing w:before="93" w:after="93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IEC60068-2-27（抗冲击）</w:t>
            </w:r>
          </w:p>
          <w:p w14:paraId="2BFCFE04">
            <w:pPr>
              <w:pStyle w:val="11"/>
              <w:spacing w:before="93" w:after="93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IEC60068-2-32（自由下落）</w:t>
            </w:r>
          </w:p>
        </w:tc>
      </w:tr>
      <w:tr w14:paraId="3F6BD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5BA26D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292DD93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1053BD8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EN60950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FCC Part 15 Class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A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18660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D42EDB3">
            <w:pPr>
              <w:pStyle w:val="8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5B134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  <w:tr w14:paraId="7240F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624" w:type="dxa"/>
            <w:gridSpan w:val="2"/>
            <w:shd w:val="clear" w:color="auto" w:fill="2E75B5" w:themeFill="accent1" w:themeFillShade="BF"/>
            <w:vAlign w:val="center"/>
          </w:tcPr>
          <w:p w14:paraId="00B2A776">
            <w:pPr>
              <w:widowControl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网管</w:t>
            </w:r>
            <w:r>
              <w:rPr>
                <w:rFonts w:hint="eastAsia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业务特性</w:t>
            </w:r>
          </w:p>
        </w:tc>
      </w:tr>
      <w:tr w14:paraId="1AFAB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D9F61EA"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2497F904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支持IEEE802.3x流控（全双工）</w:t>
            </w:r>
          </w:p>
          <w:p w14:paraId="40671C2C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支持基于端口速率的广播风暴抑制</w:t>
            </w:r>
          </w:p>
          <w:p w14:paraId="78E524D8">
            <w:pPr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支持对出入端口的报文流量进行限速，粒度最小为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sz w:val="20"/>
              </w:rPr>
              <w:t>Kbps</w:t>
            </w:r>
            <w:r>
              <w:rPr>
                <w:rFonts w:hint="eastAsia" w:ascii="宋体" w:hAnsi="宋体" w:eastAsia="宋体" w:cs="宋体"/>
                <w:sz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最大为1Gbps</w:t>
            </w:r>
          </w:p>
          <w:p w14:paraId="2255D3F6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支持端口</w:t>
            </w: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实时流量管理（Flow Interval)</w:t>
            </w:r>
          </w:p>
        </w:tc>
      </w:tr>
      <w:tr w14:paraId="47BA3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F0683FD"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三层功能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0024AC7">
            <w:pPr>
              <w:rPr>
                <w:rFonts w:ascii="Arial" w:cs="Arial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支持L2+网管功能，</w:t>
            </w:r>
          </w:p>
          <w:p w14:paraId="55567137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  <w:szCs w:val="18"/>
              </w:rPr>
              <w:t>支持</w:t>
            </w:r>
            <w:r>
              <w:rPr>
                <w:rFonts w:hint="eastAsia" w:ascii="Arial" w:cs="Arial"/>
                <w:sz w:val="18"/>
                <w:szCs w:val="18"/>
                <w:lang w:val="en-US" w:eastAsia="zh-CN"/>
              </w:rPr>
              <w:t>IPV4</w:t>
            </w:r>
            <w:r>
              <w:rPr>
                <w:rFonts w:hint="eastAsia" w:ascii="Arial" w:cs="Arial"/>
                <w:sz w:val="18"/>
                <w:szCs w:val="18"/>
              </w:rPr>
              <w:t>静态路由/默认路由</w:t>
            </w:r>
          </w:p>
        </w:tc>
      </w:tr>
      <w:tr w14:paraId="4F638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9636309"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VLAN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0CEF8EE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cs="Arial"/>
                <w:sz w:val="20"/>
              </w:rPr>
              <w:t>支持基于端口的</w:t>
            </w:r>
            <w:r>
              <w:rPr>
                <w:rFonts w:ascii="Arial" w:hAnsi="Arial" w:cs="Arial"/>
                <w:sz w:val="20"/>
              </w:rPr>
              <w:t>VLAN</w:t>
            </w:r>
            <w:r>
              <w:rPr>
                <w:rFonts w:ascii="Arial" w:cs="Arial"/>
                <w:sz w:val="20"/>
              </w:rPr>
              <w:t>（</w:t>
            </w:r>
            <w:r>
              <w:rPr>
                <w:rFonts w:ascii="Arial" w:hAnsi="Arial" w:cs="Arial"/>
                <w:sz w:val="20"/>
              </w:rPr>
              <w:t>4K</w:t>
            </w:r>
            <w:r>
              <w:rPr>
                <w:rFonts w:ascii="Arial" w:cs="Arial"/>
                <w:sz w:val="20"/>
              </w:rPr>
              <w:t>个）</w:t>
            </w:r>
            <w:r>
              <w:rPr>
                <w:rFonts w:ascii="Arial" w:hAnsi="Arial" w:cs="Arial"/>
                <w:sz w:val="20"/>
              </w:rPr>
              <w:t>,IEEE802.1q</w:t>
            </w:r>
          </w:p>
          <w:p w14:paraId="1D8414D1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20"/>
              </w:rPr>
              <w:t>支持Access、Trunk、Hybrid三种类型端口配置</w:t>
            </w:r>
          </w:p>
        </w:tc>
      </w:tr>
      <w:tr w14:paraId="62295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3F25182"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端口汇聚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3084B21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支持LACP动态聚合</w:t>
            </w:r>
          </w:p>
          <w:p w14:paraId="2F797B4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支持静态聚合</w:t>
            </w:r>
          </w:p>
          <w:p w14:paraId="00434F6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支持最大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个聚合组，每个聚合组最大支持8个端口 </w:t>
            </w:r>
          </w:p>
        </w:tc>
      </w:tr>
      <w:tr w14:paraId="73AA9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9929B26"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生成树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2091B47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RSTP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（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IEEE802.1w</w:t>
            </w:r>
            <w:r>
              <w:rPr>
                <w:rFonts w:ascii="Arial" w:hAnsi="宋体" w:cs="Arial"/>
                <w:kern w:val="0"/>
                <w:sz w:val="18"/>
                <w:szCs w:val="18"/>
              </w:rPr>
              <w:t>）</w:t>
            </w:r>
          </w:p>
        </w:tc>
      </w:tr>
      <w:tr w14:paraId="7BCF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396703F"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ITU G.8032快速环网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179805A6">
            <w:pPr>
              <w:widowControl/>
              <w:jc w:val="left"/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支持ERPS 快速环网功能</w:t>
            </w:r>
          </w:p>
          <w:p w14:paraId="3098AB5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环网自愈时间小于20ms</w:t>
            </w:r>
          </w:p>
        </w:tc>
      </w:tr>
      <w:tr w14:paraId="48694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6D72C1C"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组播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1D95E0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IGMP Snooping v1/v2</w:t>
            </w:r>
          </w:p>
          <w:p w14:paraId="2A3BBCC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支持用户快速离开机制</w:t>
            </w:r>
          </w:p>
          <w:p w14:paraId="5A9BA3C5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ascii="Arial" w:cs="Arial"/>
                <w:sz w:val="18"/>
              </w:rPr>
              <w:t>支持组播</w:t>
            </w:r>
            <w:r>
              <w:rPr>
                <w:rFonts w:ascii="Arial" w:hAnsi="Arial" w:cs="Arial"/>
                <w:sz w:val="18"/>
              </w:rPr>
              <w:t>VLAN</w:t>
            </w:r>
          </w:p>
        </w:tc>
      </w:tr>
      <w:tr w14:paraId="6FF7A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BF0141C"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镜像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8C1728B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支持基本端口的双向流量镜像</w:t>
            </w:r>
          </w:p>
        </w:tc>
      </w:tr>
      <w:tr w14:paraId="6E843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C974A01"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QoS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67AC814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Diff-Serv QoS</w:t>
            </w:r>
            <w:r>
              <w:rPr>
                <w:rFonts w:hint="eastAsia" w:ascii="Arial" w:hAnsi="Arial" w:cs="Arial"/>
                <w:sz w:val="18"/>
              </w:rPr>
              <w:t xml:space="preserve"> </w:t>
            </w:r>
          </w:p>
          <w:p w14:paraId="40E68CB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每个端口支持</w:t>
            </w:r>
            <w:r>
              <w:rPr>
                <w:rFonts w:ascii="Arial" w:hAnsi="Arial" w:cs="Arial"/>
                <w:sz w:val="18"/>
              </w:rPr>
              <w:t>8</w:t>
            </w:r>
            <w:r>
              <w:rPr>
                <w:rFonts w:ascii="Arial" w:cs="Arial"/>
                <w:sz w:val="18"/>
              </w:rPr>
              <w:t>个输出队列</w:t>
            </w:r>
          </w:p>
          <w:p w14:paraId="7EF318E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802.1p/DSCP</w:t>
            </w:r>
            <w:r>
              <w:rPr>
                <w:rFonts w:ascii="Arial" w:cs="Arial"/>
                <w:sz w:val="18"/>
              </w:rPr>
              <w:t>优先级映射</w:t>
            </w:r>
          </w:p>
          <w:p w14:paraId="658814D8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Arial" w:cs="Arial"/>
                <w:sz w:val="18"/>
              </w:rPr>
              <w:t>支持队列调度机制（</w:t>
            </w:r>
            <w:r>
              <w:rPr>
                <w:rFonts w:ascii="Arial" w:hAnsi="Arial" w:cs="Arial"/>
                <w:sz w:val="18"/>
              </w:rPr>
              <w:t>SP</w:t>
            </w:r>
            <w:r>
              <w:rPr>
                <w:rFonts w:ascii="Arial" w:cs="Arial"/>
                <w:sz w:val="18"/>
              </w:rPr>
              <w:t>、</w:t>
            </w:r>
            <w:r>
              <w:rPr>
                <w:rFonts w:ascii="Arial" w:hAnsi="Arial" w:cs="Arial"/>
                <w:sz w:val="18"/>
              </w:rPr>
              <w:t>WRR</w:t>
            </w:r>
            <w:r>
              <w:rPr>
                <w:rFonts w:ascii="Arial" w:cs="Arial"/>
                <w:sz w:val="18"/>
              </w:rPr>
              <w:t>、</w:t>
            </w:r>
            <w:r>
              <w:rPr>
                <w:rFonts w:hint="eastAsia" w:ascii="Arial" w:cs="Arial"/>
                <w:sz w:val="18"/>
                <w:lang w:val="en-US" w:eastAsia="zh-CN"/>
              </w:rPr>
              <w:t>WFQ</w:t>
            </w:r>
            <w:r>
              <w:rPr>
                <w:rFonts w:ascii="Arial" w:cs="Arial"/>
                <w:sz w:val="18"/>
              </w:rPr>
              <w:t>）</w:t>
            </w:r>
          </w:p>
        </w:tc>
      </w:tr>
      <w:tr w14:paraId="4AFBE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FFB8414">
            <w:pPr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</w:rPr>
              <w:t>ACL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7E7F4820">
            <w:pPr>
              <w:rPr>
                <w:rFonts w:asci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L2</w:t>
            </w:r>
            <w:r>
              <w:rPr>
                <w:rFonts w:ascii="Arial" w:cs="Arial"/>
                <w:sz w:val="18"/>
              </w:rPr>
              <w:t>～</w:t>
            </w:r>
            <w:r>
              <w:rPr>
                <w:rFonts w:ascii="Arial" w:hAnsi="Arial" w:cs="Arial"/>
                <w:sz w:val="18"/>
              </w:rPr>
              <w:t>L4</w:t>
            </w:r>
            <w:r>
              <w:rPr>
                <w:rFonts w:ascii="Arial" w:cs="Arial"/>
                <w:sz w:val="18"/>
              </w:rPr>
              <w:t>包过滤功能，提供基于源</w:t>
            </w:r>
            <w:r>
              <w:rPr>
                <w:rFonts w:ascii="Arial" w:hAnsi="Arial" w:cs="Arial"/>
                <w:sz w:val="18"/>
              </w:rPr>
              <w:t>MAC</w:t>
            </w:r>
            <w:r>
              <w:rPr>
                <w:rFonts w:ascii="Arial" w:cs="Arial"/>
                <w:sz w:val="18"/>
              </w:rPr>
              <w:t>地址、目的</w:t>
            </w:r>
            <w:r>
              <w:rPr>
                <w:rFonts w:ascii="Arial" w:hAnsi="Arial" w:cs="Arial"/>
                <w:sz w:val="18"/>
              </w:rPr>
              <w:t>MAC</w:t>
            </w:r>
            <w:r>
              <w:rPr>
                <w:rFonts w:ascii="Arial" w:cs="Arial"/>
                <w:sz w:val="18"/>
              </w:rPr>
              <w:t>地址、源</w:t>
            </w:r>
            <w:r>
              <w:rPr>
                <w:rFonts w:ascii="Arial" w:hAnsi="Arial" w:cs="Arial"/>
                <w:sz w:val="18"/>
              </w:rPr>
              <w:t>IP</w:t>
            </w:r>
            <w:r>
              <w:rPr>
                <w:rFonts w:ascii="Arial" w:cs="Arial"/>
                <w:sz w:val="18"/>
              </w:rPr>
              <w:t>地址、目的</w:t>
            </w:r>
            <w:r>
              <w:rPr>
                <w:rFonts w:ascii="Arial" w:hAnsi="Arial" w:cs="Arial"/>
                <w:sz w:val="18"/>
              </w:rPr>
              <w:t>IP</w:t>
            </w:r>
            <w:r>
              <w:rPr>
                <w:rFonts w:ascii="Arial" w:cs="Arial"/>
                <w:sz w:val="18"/>
              </w:rPr>
              <w:t>地址、</w:t>
            </w:r>
            <w:r>
              <w:rPr>
                <w:rFonts w:ascii="Arial" w:hAnsi="Arial" w:cs="Arial"/>
                <w:sz w:val="18"/>
              </w:rPr>
              <w:t>IP</w:t>
            </w:r>
            <w:r>
              <w:rPr>
                <w:rFonts w:ascii="Arial" w:cs="Arial"/>
                <w:sz w:val="18"/>
              </w:rPr>
              <w:t>协议类型、</w:t>
            </w:r>
            <w:r>
              <w:rPr>
                <w:rFonts w:ascii="Arial" w:hAnsi="Arial" w:cs="Arial"/>
                <w:sz w:val="18"/>
              </w:rPr>
              <w:t>TCP/UDP</w:t>
            </w:r>
            <w:r>
              <w:rPr>
                <w:rFonts w:ascii="Arial" w:cs="Arial"/>
                <w:sz w:val="18"/>
              </w:rPr>
              <w:t>端口、</w:t>
            </w:r>
            <w:r>
              <w:rPr>
                <w:rFonts w:ascii="Arial" w:hAnsi="Arial" w:cs="Arial"/>
                <w:sz w:val="18"/>
              </w:rPr>
              <w:t xml:space="preserve"> TCP/UDP</w:t>
            </w:r>
            <w:r>
              <w:rPr>
                <w:rFonts w:ascii="Arial" w:cs="Arial"/>
                <w:sz w:val="18"/>
              </w:rPr>
              <w:t>端口范围、</w:t>
            </w:r>
            <w:r>
              <w:rPr>
                <w:rFonts w:ascii="Arial" w:hAnsi="Arial" w:cs="Arial"/>
                <w:sz w:val="18"/>
              </w:rPr>
              <w:t>VLAN</w:t>
            </w:r>
            <w:r>
              <w:rPr>
                <w:rFonts w:ascii="Arial" w:cs="Arial"/>
                <w:sz w:val="18"/>
              </w:rPr>
              <w:t>等定义</w:t>
            </w:r>
            <w:r>
              <w:rPr>
                <w:rFonts w:ascii="Arial" w:hAnsi="Arial" w:cs="Arial"/>
                <w:sz w:val="18"/>
              </w:rPr>
              <w:t>ACL</w:t>
            </w:r>
            <w:r>
              <w:rPr>
                <w:rFonts w:ascii="Arial" w:cs="Arial"/>
                <w:sz w:val="18"/>
              </w:rPr>
              <w:t>。</w:t>
            </w:r>
          </w:p>
          <w:p w14:paraId="6DD2BDDF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</w:rPr>
              <w:t>支持基于端口下发ACL</w:t>
            </w:r>
          </w:p>
        </w:tc>
      </w:tr>
      <w:tr w14:paraId="1C77F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BB31076"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安全特性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00F4A3A3"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支持用户分级管理和口令保护</w:t>
            </w:r>
          </w:p>
          <w:p w14:paraId="62EBE8F9">
            <w:pPr>
              <w:widowControl/>
              <w:jc w:val="left"/>
              <w:rPr>
                <w:rFonts w:hint="eastAsia"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基于端口和MAC的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IEEE802.1X认证</w:t>
            </w:r>
          </w:p>
          <w:p w14:paraId="5458016F"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支持AAA&amp;RADIUS认证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（只支持认证、不支持授权和计费）</w:t>
            </w:r>
          </w:p>
          <w:p w14:paraId="26DA7920"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支持MAC地址学习数目限制</w:t>
            </w:r>
          </w:p>
          <w:p w14:paraId="6D84565D"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支持端口隔离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 xml:space="preserve"> </w:t>
            </w:r>
          </w:p>
          <w:p w14:paraId="697F57D4">
            <w:pPr>
              <w:widowControl/>
              <w:jc w:val="left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支持端口广播报文抑制</w:t>
            </w:r>
          </w:p>
          <w:p w14:paraId="4C26ACC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</w:rPr>
              <w:t>支持主机数据备份机制</w:t>
            </w:r>
          </w:p>
        </w:tc>
      </w:tr>
      <w:tr w14:paraId="00779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1C272B6"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DHCP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6E00291">
            <w:pPr>
              <w:widowControl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DHCP Client</w:t>
            </w:r>
          </w:p>
          <w:p w14:paraId="73119177">
            <w:pPr>
              <w:widowControl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支持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DHCP Snooping</w:t>
            </w:r>
          </w:p>
        </w:tc>
      </w:tr>
      <w:tr w14:paraId="70783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AB9B732"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宋体" w:cs="Arial"/>
                <w:kern w:val="0"/>
                <w:sz w:val="18"/>
                <w:szCs w:val="18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管理与维护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4D7D7C51">
            <w:pPr>
              <w:rPr>
                <w:rFonts w:asci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支持Console</w:t>
            </w:r>
            <w:r>
              <w:rPr>
                <w:rFonts w:hint="eastAsia" w:ascii="Arial" w:cs="Arial"/>
                <w:sz w:val="18"/>
              </w:rPr>
              <w:t>/Telnet/CLI命令行配置</w:t>
            </w:r>
          </w:p>
          <w:p w14:paraId="01D9BBF8">
            <w:pPr>
              <w:rPr>
                <w:rFonts w:asci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支持WEB</w:t>
            </w:r>
            <w:r>
              <w:rPr>
                <w:rFonts w:ascii="Arial" w:cs="Arial"/>
                <w:sz w:val="18"/>
              </w:rPr>
              <w:t>网管</w:t>
            </w:r>
          </w:p>
          <w:p w14:paraId="583D903F">
            <w:pPr>
              <w:rPr>
                <w:rFonts w:ascii="Arial" w:hAnsi="Arial" w:cs="Arial"/>
                <w:sz w:val="18"/>
              </w:rPr>
            </w:pPr>
            <w:bookmarkStart w:id="4" w:name="_GoBack"/>
            <w:bookmarkEnd w:id="4"/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SNMP V1/V2C/V3</w:t>
            </w:r>
            <w:r>
              <w:rPr>
                <w:rFonts w:hint="eastAsia" w:ascii="Arial" w:hAnsi="Arial" w:cs="Arial"/>
                <w:sz w:val="18"/>
              </w:rPr>
              <w:t xml:space="preserve"> </w:t>
            </w:r>
          </w:p>
          <w:p w14:paraId="096F66B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支持一键还原</w:t>
            </w:r>
          </w:p>
          <w:p w14:paraId="6D54ED7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</w:t>
            </w:r>
            <w:r>
              <w:rPr>
                <w:rFonts w:ascii="Arial" w:hAnsi="Arial" w:cs="Arial"/>
                <w:sz w:val="18"/>
              </w:rPr>
              <w:t>NTP</w:t>
            </w:r>
            <w:r>
              <w:rPr>
                <w:rFonts w:ascii="Arial" w:cs="Arial"/>
                <w:sz w:val="18"/>
              </w:rPr>
              <w:t>时钟</w:t>
            </w:r>
          </w:p>
          <w:p w14:paraId="6DF5C32B">
            <w:pPr>
              <w:rPr>
                <w:rFonts w:ascii="Arial" w:cs="Arial"/>
                <w:sz w:val="18"/>
              </w:rPr>
            </w:pPr>
            <w:r>
              <w:rPr>
                <w:rFonts w:ascii="Arial" w:cs="Arial"/>
                <w:sz w:val="18"/>
              </w:rPr>
              <w:t>支持系统工作日志</w:t>
            </w:r>
          </w:p>
          <w:p w14:paraId="2A1A3101">
            <w:pPr>
              <w:rPr>
                <w:rFonts w:hint="eastAsia" w:ascii="Arial" w:eastAsia="宋体" w:cs="Arial"/>
                <w:sz w:val="18"/>
                <w:lang w:eastAsia="zh-CN"/>
              </w:rPr>
            </w:pPr>
            <w:r>
              <w:rPr>
                <w:rFonts w:hint="eastAsia" w:ascii="Arial" w:cs="Arial"/>
                <w:sz w:val="18"/>
              </w:rPr>
              <w:t>支持Ping检测</w:t>
            </w:r>
            <w:r>
              <w:rPr>
                <w:rFonts w:hint="eastAsia" w:ascii="Arial" w:cs="Arial"/>
                <w:sz w:val="18"/>
                <w:lang w:eastAsia="zh-CN"/>
              </w:rPr>
              <w:t>（</w:t>
            </w:r>
            <w:r>
              <w:rPr>
                <w:rFonts w:hint="eastAsia" w:ascii="Arial" w:cs="Arial"/>
                <w:sz w:val="18"/>
                <w:lang w:val="en-US" w:eastAsia="zh-CN"/>
              </w:rPr>
              <w:t>CLI</w:t>
            </w:r>
            <w:r>
              <w:rPr>
                <w:rFonts w:hint="eastAsia" w:ascii="Arial" w:cs="Arial"/>
                <w:sz w:val="18"/>
                <w:lang w:eastAsia="zh-CN"/>
              </w:rPr>
              <w:t>）</w:t>
            </w:r>
          </w:p>
          <w:p w14:paraId="15BEC8DC">
            <w:pPr>
              <w:rPr>
                <w:rFonts w:ascii="Arial" w:cs="Arial"/>
                <w:sz w:val="18"/>
              </w:rPr>
            </w:pPr>
            <w:r>
              <w:rPr>
                <w:rFonts w:hint="eastAsia" w:ascii="Arial" w:cs="Arial"/>
                <w:sz w:val="18"/>
              </w:rPr>
              <w:t>支持CPU即时利用率状态查看</w:t>
            </w:r>
          </w:p>
          <w:p w14:paraId="16B9EA54">
            <w:pPr>
              <w:rPr>
                <w:rFonts w:ascii="Arial" w:cs="Arial"/>
                <w:sz w:val="18"/>
              </w:rPr>
            </w:pPr>
            <w:r>
              <w:rPr>
                <w:rFonts w:hint="eastAsia" w:ascii="Arial" w:cs="Arial"/>
                <w:sz w:val="18"/>
              </w:rPr>
              <w:t>支持链路层发现协议LLDP</w:t>
            </w:r>
          </w:p>
          <w:p w14:paraId="67A74860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Arial" w:cs="Arial"/>
                <w:sz w:val="18"/>
              </w:rPr>
              <w:t>支持 NMS平台化集群式管理（LLDP+SNMP）</w:t>
            </w:r>
          </w:p>
        </w:tc>
      </w:tr>
      <w:tr w14:paraId="0C6E8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9BDE16F">
            <w:pPr>
              <w:pStyle w:val="8"/>
              <w:spacing w:before="100" w:beforeAutospacing="1" w:after="100" w:afterAutospacing="1"/>
              <w:ind w:firstLine="0" w:firstLineChars="0"/>
              <w:rPr>
                <w:rFonts w:ascii="Arial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系统要求</w:t>
            </w:r>
          </w:p>
        </w:tc>
        <w:tc>
          <w:tcPr>
            <w:tcW w:w="6647" w:type="dxa"/>
            <w:shd w:val="clear" w:color="auto" w:fill="auto"/>
            <w:vAlign w:val="center"/>
          </w:tcPr>
          <w:p w14:paraId="0F2A7511">
            <w:pPr>
              <w:rPr>
                <w:rFonts w:ascii="Arial" w:cs="Arial"/>
                <w:sz w:val="18"/>
              </w:rPr>
            </w:pPr>
            <w:r>
              <w:rPr>
                <w:rFonts w:hint="eastAsia" w:ascii="Arial" w:cs="Arial"/>
                <w:sz w:val="18"/>
              </w:rPr>
              <w:t>Web浏览器：Mozilla火狐2.5或更高版本，谷歌浏览器chrome V42或更高版本，微软Internet Explorer10或更高版本;</w:t>
            </w:r>
          </w:p>
          <w:p w14:paraId="27A748B5">
            <w:pPr>
              <w:rPr>
                <w:rFonts w:ascii="Arial" w:cs="Arial"/>
                <w:sz w:val="18"/>
              </w:rPr>
            </w:pPr>
            <w:r>
              <w:rPr>
                <w:rFonts w:hint="eastAsia" w:ascii="Arial" w:cs="Arial"/>
                <w:sz w:val="18"/>
              </w:rPr>
              <w:t>5类及以上以太网电缆;</w:t>
            </w:r>
          </w:p>
          <w:p w14:paraId="7C70CB74">
            <w:pPr>
              <w:rPr>
                <w:rFonts w:hint="eastAsia" w:ascii="Arial" w:hAnsi="Calibri" w:eastAsia="宋体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Arial" w:cs="Arial"/>
                <w:sz w:val="18"/>
              </w:rPr>
              <w:t>TCP/ IP，网络适配器和网络操作系统（如Microsoft Windows，Linux或Mac OS X）安装在网络中的每台计算机上5类及以上以太网电缆;</w:t>
            </w:r>
          </w:p>
        </w:tc>
      </w:tr>
    </w:tbl>
    <w:p w14:paraId="57EC2841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 w:eastAsia="宋体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608965</wp:posOffset>
            </wp:positionV>
            <wp:extent cx="4876165" cy="4397375"/>
            <wp:effectExtent l="0" t="0" r="635" b="3175"/>
            <wp:wrapNone/>
            <wp:docPr id="4" name="图片 4" descr="IPS33064PFM 尺寸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PS33064PFM 尺寸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6165" cy="4397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 w14:paraId="7ECDA5A8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886ACA2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C43B537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D2D0E6D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319C4C2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7B9DEE4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lang w:eastAsia="zh-CN"/>
        </w:rPr>
      </w:pPr>
    </w:p>
    <w:p w14:paraId="6957444B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9133A1F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1DBE9A7D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产品连接拓扑</w:t>
      </w:r>
    </w:p>
    <w:p w14:paraId="3AAAA22D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ED7D31" w:themeColor="accent2"/>
          <w:sz w:val="32"/>
          <w:szCs w:val="32"/>
          <w:lang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 w:eastAsia="宋体"/>
          <w:b/>
          <w:color w:val="ED7D31" w:themeColor="accent2"/>
          <w:sz w:val="32"/>
          <w:szCs w:val="32"/>
          <w:lang w:eastAsia="zh-CN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30480</wp:posOffset>
            </wp:positionV>
            <wp:extent cx="5631180" cy="3161030"/>
            <wp:effectExtent l="0" t="0" r="7620" b="1270"/>
            <wp:wrapNone/>
            <wp:docPr id="6" name="图片 6" descr="连接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连接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1180" cy="316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1A97C0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ED7D31" w:themeColor="accent2"/>
          <w:sz w:val="32"/>
          <w:szCs w:val="32"/>
          <w:lang w:eastAsia="zh-CN"/>
          <w14:textFill>
            <w14:solidFill>
              <w14:schemeClr w14:val="accent2"/>
            </w14:solidFill>
          </w14:textFill>
        </w:rPr>
      </w:pPr>
    </w:p>
    <w:p w14:paraId="7200522F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ED7D31" w:themeColor="accent2"/>
          <w:sz w:val="32"/>
          <w:szCs w:val="32"/>
          <w:lang w:eastAsia="zh-CN"/>
          <w14:textFill>
            <w14:solidFill>
              <w14:schemeClr w14:val="accent2"/>
            </w14:solidFill>
          </w14:textFill>
        </w:rPr>
      </w:pPr>
    </w:p>
    <w:p w14:paraId="783E0153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ED7D31" w:themeColor="accent2"/>
          <w:sz w:val="32"/>
          <w:szCs w:val="32"/>
          <w:lang w:eastAsia="zh-CN"/>
          <w14:textFill>
            <w14:solidFill>
              <w14:schemeClr w14:val="accent2"/>
            </w14:solidFill>
          </w14:textFill>
        </w:rPr>
      </w:pPr>
    </w:p>
    <w:p w14:paraId="075FDC61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ED7D31" w:themeColor="accent2"/>
          <w:sz w:val="32"/>
          <w:szCs w:val="32"/>
          <w:lang w:eastAsia="zh-CN"/>
          <w14:textFill>
            <w14:solidFill>
              <w14:schemeClr w14:val="accent2"/>
            </w14:solidFill>
          </w14:textFill>
        </w:rPr>
      </w:pPr>
    </w:p>
    <w:p w14:paraId="0369B987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ED7D31" w:themeColor="accent2"/>
          <w:sz w:val="32"/>
          <w:szCs w:val="32"/>
          <w:lang w:eastAsia="zh-CN"/>
          <w14:textFill>
            <w14:solidFill>
              <w14:schemeClr w14:val="accent2"/>
            </w14:solidFill>
          </w14:textFill>
        </w:rPr>
      </w:pPr>
    </w:p>
    <w:p w14:paraId="2230DF87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15ACE241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57100A11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4"/>
        <w:tblpPr w:leftFromText="180" w:rightFromText="180" w:vertAnchor="text" w:horzAnchor="margin" w:tblpXSpec="center" w:tblpY="358"/>
        <w:tblW w:w="82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4873"/>
        <w:gridCol w:w="709"/>
        <w:gridCol w:w="709"/>
      </w:tblGrid>
      <w:tr w14:paraId="5F69A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0405AF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26F209F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472582F4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595B700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3FC5A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0CAA41D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0F45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6口全千兆网管工业以太网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2066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580E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007D3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86447B0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90D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RJ45-DB9适配转换线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F8F8C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620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根</w:t>
            </w:r>
          </w:p>
        </w:tc>
      </w:tr>
      <w:tr w14:paraId="3A9B0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592C8B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E67A9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3AD50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69AED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  <w:tr w14:paraId="2D137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974A41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98BC0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8386F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327D2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002D79A8">
      <w:pPr>
        <w:rPr>
          <w:rFonts w:hint="eastAsia"/>
          <w:lang w:val="en-US" w:eastAsia="zh-CN"/>
        </w:rPr>
      </w:pPr>
    </w:p>
    <w:p w14:paraId="193EBD57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7ACCE960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4"/>
        <w:tblW w:w="8235" w:type="dxa"/>
        <w:tblInd w:w="1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5014"/>
        <w:gridCol w:w="1515"/>
      </w:tblGrid>
      <w:tr w14:paraId="7F3DC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43218D98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bookmarkStart w:id="2" w:name="OLE_LINK7"/>
            <w:bookmarkStart w:id="3" w:name="OLE_LINK6"/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5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7F15FFAA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19DE9B93">
            <w:pPr>
              <w:widowControl/>
              <w:jc w:val="center"/>
              <w:rPr>
                <w:rFonts w:hint="eastAsia" w:ascii="Arial" w:hAnsi="Arial" w:eastAsia="宋体" w:cs="Arial"/>
                <w:b/>
                <w:kern w:val="0"/>
                <w:sz w:val="21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建议电源功率</w:t>
            </w:r>
          </w:p>
        </w:tc>
      </w:tr>
      <w:tr w14:paraId="167EC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9762C7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IPS33006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FM</w:t>
            </w:r>
          </w:p>
        </w:tc>
        <w:tc>
          <w:tcPr>
            <w:tcW w:w="5014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 w14:paraId="4FF82F31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L2+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2个100/1000M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工业以太网光纤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支持双DC冗余电源输入，支持导轨式安装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E91F1B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12W/24W</w:t>
            </w:r>
          </w:p>
        </w:tc>
      </w:tr>
      <w:tr w14:paraId="7437F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4FD6D1A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SFP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光模块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和电源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，如需选购，请参考配件产品信息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。</w:t>
            </w:r>
          </w:p>
        </w:tc>
      </w:tr>
      <w:bookmarkEnd w:id="2"/>
      <w:bookmarkEnd w:id="3"/>
    </w:tbl>
    <w:p w14:paraId="7F5C7E80">
      <w:pPr>
        <w:rPr>
          <w:rFonts w:hint="eastAsia"/>
          <w:b/>
          <w:color w:val="ED7D31" w:themeColor="accent2"/>
          <w:sz w:val="20"/>
          <w:szCs w:val="15"/>
          <w14:textFill>
            <w14:solidFill>
              <w14:schemeClr w14:val="accent2"/>
            </w14:solidFill>
          </w14:textFill>
        </w:rPr>
      </w:pPr>
    </w:p>
    <w:p w14:paraId="3A85EEB0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  <w:t>选配信息</w:t>
      </w:r>
    </w:p>
    <w:p w14:paraId="134FEA7C">
      <w:pPr>
        <w:rPr>
          <w:rFonts w:hint="eastAsia" w:eastAsia="宋体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eastAsia"/>
          <w:b/>
          <w:color w:val="0000FF"/>
          <w:sz w:val="22"/>
          <w:szCs w:val="18"/>
          <w:highlight w:val="lightGray"/>
          <w:lang w:val="en-US" w:eastAsia="zh-CN"/>
        </w:rPr>
        <w:t>光模块选型表</w:t>
      </w:r>
    </w:p>
    <w:tbl>
      <w:tblPr>
        <w:tblStyle w:val="5"/>
        <w:tblpPr w:leftFromText="180" w:rightFromText="180" w:vertAnchor="text" w:horzAnchor="margin" w:tblpXSpec="center" w:tblpY="357"/>
        <w:tblW w:w="8479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021"/>
        <w:gridCol w:w="705"/>
      </w:tblGrid>
      <w:tr w14:paraId="1B277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07F14885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</w:tcPr>
          <w:p w14:paraId="5857126A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021" w:type="dxa"/>
          </w:tcPr>
          <w:p w14:paraId="48CD66F9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5" w:type="dxa"/>
          </w:tcPr>
          <w:p w14:paraId="117B6103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71DF8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vAlign w:val="center"/>
          </w:tcPr>
          <w:p w14:paraId="0DAAFFD4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215C61E9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ONV-2630</w:t>
            </w:r>
          </w:p>
        </w:tc>
        <w:tc>
          <w:tcPr>
            <w:tcW w:w="5021" w:type="dxa"/>
          </w:tcPr>
          <w:p w14:paraId="30F50E33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52D22495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47C82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01A2F873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30E4F0B8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ONV-2632</w:t>
            </w:r>
          </w:p>
        </w:tc>
        <w:tc>
          <w:tcPr>
            <w:tcW w:w="5021" w:type="dxa"/>
          </w:tcPr>
          <w:p w14:paraId="28B3C62A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模双纤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default" w:ascii="Arial" w:hAnsi="Arial" w:cs="Arial"/>
                <w:sz w:val="18"/>
                <w:szCs w:val="21"/>
              </w:rPr>
              <w:t>0nm，传输距离：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3ECE857B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0B05D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1C581EA3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1BBA7CAE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ONV-2612-T</w:t>
            </w:r>
          </w:p>
        </w:tc>
        <w:tc>
          <w:tcPr>
            <w:tcW w:w="5021" w:type="dxa"/>
          </w:tcPr>
          <w:p w14:paraId="3600B156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189ABABD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AD9A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14B5F39D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35E183C2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ONV-2613-R</w:t>
            </w:r>
          </w:p>
        </w:tc>
        <w:tc>
          <w:tcPr>
            <w:tcW w:w="5021" w:type="dxa"/>
          </w:tcPr>
          <w:p w14:paraId="0EE9017B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5FE88056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7B874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C10AB1D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10F3F979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73EDD317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2B62F19B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74F05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7D07A365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B9DD538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366BE657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0D40EF0D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79B5F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1D872351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DBF1246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ONV-2612-T-SC</w:t>
            </w:r>
          </w:p>
        </w:tc>
        <w:tc>
          <w:tcPr>
            <w:tcW w:w="5021" w:type="dxa"/>
            <w:vAlign w:val="top"/>
          </w:tcPr>
          <w:p w14:paraId="79EFB298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10F8CA5B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09B31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179CA4C3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1B0B9F27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ONV-2613-R-SC</w:t>
            </w:r>
          </w:p>
        </w:tc>
        <w:tc>
          <w:tcPr>
            <w:tcW w:w="5021" w:type="dxa"/>
            <w:vAlign w:val="top"/>
          </w:tcPr>
          <w:p w14:paraId="55C79D0C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51DE6689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5A768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10744B43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电模块</w:t>
            </w:r>
          </w:p>
        </w:tc>
        <w:tc>
          <w:tcPr>
            <w:tcW w:w="1830" w:type="dxa"/>
            <w:vAlign w:val="center"/>
          </w:tcPr>
          <w:p w14:paraId="21A4AD4B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2633</w:t>
            </w:r>
          </w:p>
        </w:tc>
        <w:tc>
          <w:tcPr>
            <w:tcW w:w="5021" w:type="dxa"/>
            <w:vAlign w:val="center"/>
          </w:tcPr>
          <w:p w14:paraId="759C818D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default" w:ascii="Arial" w:hAnsi="Arial" w:cs="Arial"/>
                <w:sz w:val="18"/>
                <w:szCs w:val="21"/>
              </w:rPr>
              <w:t>1.25G SFP光模块转10/100/1000M RJ45网口，（光转电）</w:t>
            </w:r>
          </w:p>
        </w:tc>
        <w:tc>
          <w:tcPr>
            <w:tcW w:w="705" w:type="dxa"/>
            <w:vAlign w:val="center"/>
          </w:tcPr>
          <w:p w14:paraId="737202E5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</w:tbl>
    <w:p w14:paraId="5655EAB3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p w14:paraId="1F49E9B3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p w14:paraId="7B62A72C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  <w:t>电源选型表</w:t>
      </w:r>
    </w:p>
    <w:p w14:paraId="24232CC9">
      <w:pPr>
        <w:rPr>
          <w:rFonts w:hint="default" w:ascii="Arial" w:hAnsi="Arial" w:cs="Arial"/>
          <w:b/>
          <w:color w:val="0000FF"/>
          <w:sz w:val="22"/>
          <w:szCs w:val="18"/>
          <w:highlight w:val="lightGray"/>
          <w:lang w:val="en-US" w:eastAsia="zh-CN"/>
        </w:rPr>
      </w:pPr>
    </w:p>
    <w:tbl>
      <w:tblPr>
        <w:tblStyle w:val="5"/>
        <w:tblW w:w="8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1665"/>
        <w:gridCol w:w="3983"/>
        <w:gridCol w:w="840"/>
      </w:tblGrid>
      <w:tr w14:paraId="5D2DD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top"/>
          </w:tcPr>
          <w:p w14:paraId="4F909958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665" w:type="dxa"/>
            <w:vAlign w:val="top"/>
          </w:tcPr>
          <w:p w14:paraId="4B62F1C1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3983" w:type="dxa"/>
            <w:vAlign w:val="top"/>
          </w:tcPr>
          <w:p w14:paraId="12151B8A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840" w:type="dxa"/>
            <w:vAlign w:val="top"/>
          </w:tcPr>
          <w:p w14:paraId="3A542F89">
            <w:pPr>
              <w:jc w:val="center"/>
              <w:rPr>
                <w:rFonts w:hint="default" w:ascii="Arial" w:hAnsi="Arial" w:cs="Arial"/>
                <w:vertAlign w:val="baseline"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7DC21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0" w:type="dxa"/>
            <w:vAlign w:val="center"/>
          </w:tcPr>
          <w:p w14:paraId="75EA8436">
            <w:pPr>
              <w:jc w:val="both"/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工业</w:t>
            </w:r>
            <w:r>
              <w:rPr>
                <w:rFonts w:hint="eastAsia" w:ascii="Arial" w:hAnsi="Arial" w:cs="Arial"/>
                <w:sz w:val="20"/>
                <w:szCs w:val="22"/>
                <w:lang w:val="en-US" w:eastAsia="zh-CN"/>
              </w:rPr>
              <w:t>24</w:t>
            </w: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W导轨电源</w:t>
            </w:r>
          </w:p>
        </w:tc>
        <w:tc>
          <w:tcPr>
            <w:tcW w:w="1665" w:type="dxa"/>
            <w:vAlign w:val="center"/>
          </w:tcPr>
          <w:p w14:paraId="308C4D6E">
            <w:pPr>
              <w:jc w:val="both"/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GWS-DP</w:t>
            </w:r>
            <w:r>
              <w:rPr>
                <w:rFonts w:hint="eastAsia" w:ascii="Arial" w:hAnsi="Arial" w:cs="Arial"/>
                <w:sz w:val="20"/>
                <w:szCs w:val="22"/>
                <w:lang w:val="en-US" w:eastAsia="zh-CN"/>
              </w:rPr>
              <w:t>24</w:t>
            </w:r>
            <w:r>
              <w:rPr>
                <w:rFonts w:hint="default" w:ascii="Arial" w:hAnsi="Arial" w:cs="Arial"/>
                <w:sz w:val="20"/>
                <w:szCs w:val="22"/>
                <w:lang w:val="en-US" w:eastAsia="zh-CN"/>
              </w:rPr>
              <w:t>-</w:t>
            </w:r>
            <w:r>
              <w:rPr>
                <w:rFonts w:hint="eastAsia" w:ascii="Arial" w:hAnsi="Arial" w:cs="Arial"/>
                <w:sz w:val="20"/>
                <w:szCs w:val="22"/>
                <w:lang w:val="en-US" w:eastAsia="zh-CN"/>
              </w:rPr>
              <w:t>24</w:t>
            </w:r>
          </w:p>
        </w:tc>
        <w:tc>
          <w:tcPr>
            <w:tcW w:w="3983" w:type="dxa"/>
            <w:vAlign w:val="center"/>
          </w:tcPr>
          <w:p w14:paraId="5A32B248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导轨型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24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W单组输出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工业电源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；</w:t>
            </w:r>
          </w:p>
          <w:p w14:paraId="52F8CD52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额定输入电压：AC 100V~240V 50-60H，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0.35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77DE6C34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额定输出电压：DC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24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 xml:space="preserve">V 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1.0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A</w:t>
            </w:r>
          </w:p>
          <w:p w14:paraId="0DCE5985">
            <w:pPr>
              <w:jc w:val="both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工作温度：-40℃—+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70</w:t>
            </w: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℃</w:t>
            </w:r>
          </w:p>
        </w:tc>
        <w:tc>
          <w:tcPr>
            <w:tcW w:w="840" w:type="dxa"/>
            <w:vAlign w:val="center"/>
          </w:tcPr>
          <w:p w14:paraId="6AED2F1F">
            <w:pPr>
              <w:jc w:val="center"/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18"/>
                <w:szCs w:val="21"/>
                <w:lang w:val="en-US" w:eastAsia="zh-CN"/>
              </w:rPr>
              <w:t>只</w:t>
            </w:r>
          </w:p>
        </w:tc>
      </w:tr>
    </w:tbl>
    <w:p w14:paraId="726FBFBE">
      <w:pP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</w:pPr>
    </w:p>
    <w:p w14:paraId="53D0EDE2">
      <w:pPr>
        <w:rPr>
          <w:rFonts w:hint="eastAsia"/>
          <w:b/>
          <w:bCs/>
          <w:color w:val="ED7D31" w:themeColor="accent2"/>
          <w:sz w:val="24"/>
          <w:szCs w:val="24"/>
          <w:highlight w:val="none"/>
          <w:lang w:eastAsia="zh-CN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24"/>
          <w:szCs w:val="24"/>
          <w:highlight w:val="none"/>
          <w:lang w:eastAsia="zh-CN"/>
          <w14:textFill>
            <w14:solidFill>
              <w14:schemeClr w14:val="accent2"/>
            </w14:solidFill>
          </w14:textFill>
        </w:rPr>
        <w:t>相关产品信息</w:t>
      </w:r>
    </w:p>
    <w:p w14:paraId="6D59B4BB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tbl>
      <w:tblPr>
        <w:tblStyle w:val="4"/>
        <w:tblW w:w="870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6774"/>
      </w:tblGrid>
      <w:tr w14:paraId="647E8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4DA57D14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6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340EDB92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</w:tr>
      <w:tr w14:paraId="59A90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C71F82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IPS33010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FM</w:t>
            </w:r>
          </w:p>
        </w:tc>
        <w:tc>
          <w:tcPr>
            <w:tcW w:w="6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0D4D03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L2+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4个100/1000M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工业以太网光纤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支持双DC冗余电源输入，导轨式安装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</w:tr>
      <w:tr w14:paraId="49BE1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A04DCA2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IPS33128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FM</w:t>
            </w:r>
          </w:p>
        </w:tc>
        <w:tc>
          <w:tcPr>
            <w:tcW w:w="6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3C3E68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L2+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2个100/1000M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工业以太网光纤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支持双DC冗余电源输入，导轨式安装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</w:tr>
      <w:tr w14:paraId="3477C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113DEA2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IPS33148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FM</w:t>
            </w:r>
          </w:p>
        </w:tc>
        <w:tc>
          <w:tcPr>
            <w:tcW w:w="6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731D8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L2+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4个100/1000M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工业以太网光纤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支持双DC冗余电源输入，1路掉电告警开关量接口，导轨式安装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</w:tr>
      <w:tr w14:paraId="5260A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4F17DAF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IPS33168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FM</w:t>
            </w:r>
          </w:p>
        </w:tc>
        <w:tc>
          <w:tcPr>
            <w:tcW w:w="6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7E69B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L2+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8个100/1000M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工业以太网光纤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支持双DC冗余电源输入，导轨式安装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</w:tr>
      <w:tr w14:paraId="5760E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4CA6166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IPS33168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FM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-4GF</w:t>
            </w:r>
          </w:p>
        </w:tc>
        <w:tc>
          <w:tcPr>
            <w:tcW w:w="6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BDD2F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L2+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4个100/1000M 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工业以太网光纤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支持双DC冗余电源输入，1路掉电告警开关量输出，导轨式安装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</w:tr>
    </w:tbl>
    <w:p w14:paraId="2471FAD1">
      <w:pPr>
        <w:rPr>
          <w:rFonts w:hint="eastAsia"/>
          <w:b/>
          <w:bCs/>
          <w:color w:val="ED7D31" w:themeColor="accent2"/>
          <w:sz w:val="21"/>
          <w:szCs w:val="21"/>
          <w:highlight w:val="none"/>
          <w:lang w:eastAsia="zh-CN"/>
          <w14:textFill>
            <w14:solidFill>
              <w14:schemeClr w14:val="accent2"/>
            </w14:solidFill>
          </w14:textFill>
        </w:rPr>
      </w:pPr>
    </w:p>
    <w:p w14:paraId="4045E7AF">
      <w:pPr>
        <w:pStyle w:val="8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3576320</wp:posOffset>
            </wp:positionH>
            <wp:positionV relativeFrom="line">
              <wp:posOffset>436245</wp:posOffset>
            </wp:positionV>
            <wp:extent cx="1628775" cy="1762125"/>
            <wp:effectExtent l="0" t="0" r="9525" b="9525"/>
            <wp:wrapNone/>
            <wp:docPr id="15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20091171110989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381B8A6D">
      <w:pPr>
        <w:pStyle w:val="8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3AD5DC40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12FF95FE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55E2E81D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53C02000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址：http://www.onv.com.cn</w:t>
      </w:r>
    </w:p>
    <w:p w14:paraId="63A78152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7CE6E52C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0B3AAFBC">
      <w:pPr>
        <w:pStyle w:val="10"/>
        <w:rPr>
          <w:rFonts w:ascii="宋体" w:hAnsi="宋体" w:eastAsia="宋体"/>
          <w:sz w:val="18"/>
          <w:szCs w:val="18"/>
        </w:rPr>
      </w:pPr>
    </w:p>
    <w:p w14:paraId="6FCE63C0">
      <w:pPr>
        <w:pStyle w:val="10"/>
        <w:rPr>
          <w:rFonts w:ascii="宋体" w:hAnsi="宋体" w:eastAsia="宋体"/>
          <w:sz w:val="18"/>
          <w:szCs w:val="18"/>
        </w:rPr>
      </w:pPr>
    </w:p>
    <w:p w14:paraId="570BA914">
      <w:pPr>
        <w:pStyle w:val="10"/>
        <w:rPr>
          <w:rFonts w:ascii="宋体" w:hAnsi="宋体" w:eastAsia="宋体"/>
          <w:sz w:val="18"/>
          <w:szCs w:val="18"/>
        </w:rPr>
      </w:pPr>
    </w:p>
    <w:p w14:paraId="3A7C1018">
      <w:pPr>
        <w:pStyle w:val="10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700AD871"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1FF245E3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34D406BA"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37A32DA4">
      <w:pPr>
        <w:pStyle w:val="10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3F26B62B">
      <w:pPr>
        <w:pStyle w:val="10"/>
        <w:wordWrap w:val="0"/>
        <w:jc w:val="righ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03D87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4F601C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0E3D867F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6432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2E4F601C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0E3D867F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B4C545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B4C545"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3B24"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63360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1DC0462"/>
    <w:rsid w:val="06DF01F6"/>
    <w:rsid w:val="06E9625C"/>
    <w:rsid w:val="071030B5"/>
    <w:rsid w:val="0C2014DA"/>
    <w:rsid w:val="129A5707"/>
    <w:rsid w:val="12B50442"/>
    <w:rsid w:val="15D854AC"/>
    <w:rsid w:val="185A75A0"/>
    <w:rsid w:val="1EEE63D2"/>
    <w:rsid w:val="200D2C44"/>
    <w:rsid w:val="20ED71CC"/>
    <w:rsid w:val="21A12914"/>
    <w:rsid w:val="22474CC1"/>
    <w:rsid w:val="22B06A9C"/>
    <w:rsid w:val="2A796214"/>
    <w:rsid w:val="2CB12021"/>
    <w:rsid w:val="2CE660DE"/>
    <w:rsid w:val="366B1E74"/>
    <w:rsid w:val="38756B4B"/>
    <w:rsid w:val="38B44758"/>
    <w:rsid w:val="3D384155"/>
    <w:rsid w:val="3DCF50AC"/>
    <w:rsid w:val="3F52563E"/>
    <w:rsid w:val="404A6E7B"/>
    <w:rsid w:val="41E21024"/>
    <w:rsid w:val="44211337"/>
    <w:rsid w:val="47372325"/>
    <w:rsid w:val="4A3051D3"/>
    <w:rsid w:val="515B4E8F"/>
    <w:rsid w:val="52BF5D78"/>
    <w:rsid w:val="52D71A9B"/>
    <w:rsid w:val="548D626A"/>
    <w:rsid w:val="57C33CF8"/>
    <w:rsid w:val="593149A8"/>
    <w:rsid w:val="5A6537E0"/>
    <w:rsid w:val="5DAE0887"/>
    <w:rsid w:val="68BE4CA4"/>
    <w:rsid w:val="6D5A5F84"/>
    <w:rsid w:val="6EA74AF3"/>
    <w:rsid w:val="73E334BB"/>
    <w:rsid w:val="74EC3B53"/>
    <w:rsid w:val="7BB5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0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1">
    <w:name w:val="Table Text"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3629</Words>
  <Characters>5634</Characters>
  <Lines>0</Lines>
  <Paragraphs>0</Paragraphs>
  <TotalTime>0</TotalTime>
  <ScaleCrop>false</ScaleCrop>
  <LinksUpToDate>false</LinksUpToDate>
  <CharactersWithSpaces>5824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一</cp:lastModifiedBy>
  <dcterms:modified xsi:type="dcterms:W3CDTF">2025-11-13T05:35:53Z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538F378CE84649509DCBAC083799555C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