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 xml:space="preserve">深圳市光网视科技有限公司                                     </w:t>
      </w:r>
    </w:p>
    <w:p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产品规格书</w:t>
      </w:r>
    </w:p>
    <w:p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0070C0"/>
          <w:sz w:val="44"/>
          <w:szCs w:val="44"/>
          <w:lang w:val="en-US"/>
        </w:rPr>
      </w:pPr>
      <w:r>
        <w:rPr>
          <w:rFonts w:hint="eastAsia" w:ascii="微软雅黑" w:hAnsi="微软雅黑" w:eastAsia="微软雅黑"/>
          <w:b/>
          <w:color w:val="0070C0"/>
          <w:sz w:val="44"/>
          <w:szCs w:val="44"/>
          <w:lang w:val="en-US" w:eastAsia="zh-CN"/>
        </w:rPr>
        <w:t>10口全千</w:t>
      </w:r>
      <w:r>
        <w:rPr>
          <w:rFonts w:hint="eastAsia" w:ascii="微软雅黑" w:hAnsi="微软雅黑" w:eastAsia="微软雅黑"/>
          <w:b/>
          <w:color w:val="0070C0"/>
          <w:sz w:val="44"/>
          <w:szCs w:val="44"/>
        </w:rPr>
        <w:t>兆</w:t>
      </w:r>
      <w:r>
        <w:rPr>
          <w:rFonts w:hint="eastAsia" w:ascii="微软雅黑" w:hAnsi="微软雅黑" w:eastAsia="微软雅黑"/>
          <w:b/>
          <w:color w:val="0070C0"/>
          <w:sz w:val="44"/>
          <w:szCs w:val="44"/>
          <w:lang w:val="en-US" w:eastAsia="zh-CN"/>
        </w:rPr>
        <w:t>工业以太网交换机</w:t>
      </w:r>
    </w:p>
    <w:p>
      <w:pPr>
        <w:spacing w:beforeLines="50" w:afterLines="50" w:line="80" w:lineRule="atLeast"/>
        <w:jc w:val="left"/>
        <w:outlineLvl w:val="0"/>
        <w:rPr>
          <w:rFonts w:hint="default" w:ascii="微软雅黑" w:hAnsi="微软雅黑" w:eastAsia="微软雅黑"/>
          <w:b/>
          <w:color w:val="0070C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/>
          <w:b/>
          <w:color w:val="0070C0"/>
          <w:sz w:val="30"/>
          <w:szCs w:val="30"/>
          <w:lang w:val="en-US" w:eastAsia="zh-CN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1664335</wp:posOffset>
            </wp:positionH>
            <wp:positionV relativeFrom="paragraph">
              <wp:posOffset>402590</wp:posOffset>
            </wp:positionV>
            <wp:extent cx="2226310" cy="3410585"/>
            <wp:effectExtent l="0" t="0" r="0" b="0"/>
            <wp:wrapNone/>
            <wp:docPr id="10" name="图片 10" descr="ONV-IPS33108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ONV-IPS33108副本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26310" cy="3410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color w:val="0070C0"/>
          <w:sz w:val="30"/>
          <w:szCs w:val="30"/>
          <w:lang w:eastAsia="zh-CN"/>
        </w:rPr>
        <w:t>ONV-IPS3</w:t>
      </w:r>
      <w:r>
        <w:rPr>
          <w:rFonts w:hint="eastAsia" w:ascii="微软雅黑" w:hAnsi="微软雅黑" w:eastAsia="微软雅黑"/>
          <w:b/>
          <w:color w:val="0070C0"/>
          <w:sz w:val="30"/>
          <w:szCs w:val="30"/>
          <w:lang w:val="en-US" w:eastAsia="zh-CN"/>
        </w:rPr>
        <w:t>3108</w:t>
      </w:r>
    </w:p>
    <w:p>
      <w:pPr>
        <w:spacing w:beforeLines="50" w:afterLines="50" w:line="80" w:lineRule="atLeast"/>
        <w:jc w:val="left"/>
        <w:outlineLvl w:val="0"/>
        <w:rPr>
          <w:rFonts w:hint="eastAsia" w:ascii="微软雅黑" w:hAnsi="微软雅黑" w:eastAsia="微软雅黑"/>
          <w:b/>
          <w:color w:val="0070C0"/>
          <w:sz w:val="30"/>
          <w:szCs w:val="30"/>
          <w:lang w:val="en-US" w:eastAsia="zh-CN"/>
        </w:rPr>
      </w:pPr>
    </w:p>
    <w:p>
      <w:pPr>
        <w:spacing w:beforeLines="50" w:afterLines="50" w:line="80" w:lineRule="atLeast"/>
        <w:jc w:val="left"/>
        <w:outlineLvl w:val="0"/>
        <w:rPr>
          <w:rFonts w:hint="eastAsia" w:ascii="微软雅黑" w:hAnsi="微软雅黑" w:eastAsia="微软雅黑"/>
          <w:b/>
          <w:color w:val="0070C0"/>
          <w:sz w:val="30"/>
          <w:szCs w:val="30"/>
          <w:lang w:eastAsia="zh-CN"/>
        </w:rPr>
      </w:pPr>
    </w:p>
    <w:p>
      <w:pPr>
        <w:spacing w:beforeLines="50" w:afterLines="50" w:line="80" w:lineRule="atLeast"/>
        <w:jc w:val="left"/>
        <w:outlineLvl w:val="0"/>
        <w:rPr>
          <w:rFonts w:hint="eastAsia" w:ascii="宋体" w:hAnsi="宋体"/>
          <w:b/>
          <w:color w:val="548235" w:themeColor="accent6" w:themeShade="BF"/>
          <w:sz w:val="28"/>
          <w:szCs w:val="28"/>
        </w:rPr>
      </w:pPr>
    </w:p>
    <w:p>
      <w:pPr>
        <w:spacing w:beforeLines="50" w:afterLines="50" w:line="80" w:lineRule="atLeast"/>
        <w:jc w:val="left"/>
        <w:outlineLvl w:val="0"/>
        <w:rPr>
          <w:rFonts w:hint="eastAsia" w:ascii="宋体" w:hAnsi="宋体"/>
          <w:b/>
          <w:color w:val="548235" w:themeColor="accent6" w:themeShade="BF"/>
          <w:sz w:val="28"/>
          <w:szCs w:val="28"/>
        </w:rPr>
      </w:pPr>
    </w:p>
    <w:p>
      <w:pPr>
        <w:spacing w:beforeLines="50" w:afterLines="50" w:line="80" w:lineRule="atLeast"/>
        <w:jc w:val="left"/>
        <w:outlineLvl w:val="0"/>
        <w:rPr>
          <w:rFonts w:hint="eastAsia" w:ascii="宋体" w:hAnsi="宋体"/>
          <w:b/>
          <w:color w:val="548235" w:themeColor="accent6" w:themeShade="BF"/>
          <w:sz w:val="28"/>
          <w:szCs w:val="28"/>
        </w:rPr>
      </w:pPr>
    </w:p>
    <w:p>
      <w:pPr>
        <w:spacing w:beforeLines="50" w:afterLines="50" w:line="80" w:lineRule="atLeast"/>
        <w:jc w:val="left"/>
        <w:outlineLvl w:val="0"/>
        <w:rPr>
          <w:rFonts w:hint="eastAsia" w:ascii="宋体" w:hAnsi="宋体"/>
          <w:b/>
          <w:color w:val="548235" w:themeColor="accent6" w:themeShade="BF"/>
          <w:sz w:val="28"/>
          <w:szCs w:val="28"/>
        </w:rPr>
      </w:pPr>
    </w:p>
    <w:p>
      <w:pPr>
        <w:spacing w:beforeLines="50" w:afterLines="50" w:line="80" w:lineRule="atLeast"/>
        <w:jc w:val="left"/>
        <w:outlineLvl w:val="0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>
      <w:pPr>
        <w:spacing w:beforeLines="50" w:afterLines="50" w:line="80" w:lineRule="atLeast"/>
        <w:jc w:val="left"/>
        <w:outlineLvl w:val="0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产品概述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ONV-IPS3</w:t>
      </w:r>
      <w:r>
        <w:rPr>
          <w:rFonts w:hint="eastAsia" w:ascii="微软雅黑" w:hAnsi="微软雅黑" w:eastAsia="微软雅黑" w:cs="微软雅黑"/>
          <w:lang w:val="en-US" w:eastAsia="zh-CN"/>
        </w:rPr>
        <w:t>3108</w:t>
      </w:r>
      <w:r>
        <w:rPr>
          <w:rFonts w:hint="eastAsia" w:ascii="微软雅黑" w:hAnsi="微软雅黑" w:eastAsia="微软雅黑" w:cs="微软雅黑"/>
        </w:rPr>
        <w:t>系列是ONV自主研发的</w:t>
      </w:r>
      <w:r>
        <w:rPr>
          <w:rFonts w:hint="eastAsia" w:ascii="微软雅黑" w:hAnsi="微软雅黑" w:eastAsia="微软雅黑" w:cs="微软雅黑"/>
          <w:lang w:eastAsia="zh-CN"/>
        </w:rPr>
        <w:t>全千兆</w:t>
      </w:r>
      <w:r>
        <w:rPr>
          <w:rFonts w:hint="eastAsia" w:ascii="微软雅黑" w:hAnsi="微软雅黑" w:eastAsia="微软雅黑" w:cs="微软雅黑"/>
          <w:lang w:val="en-US" w:eastAsia="zh-CN"/>
        </w:rPr>
        <w:t>工业以太网交换机</w:t>
      </w:r>
      <w:r>
        <w:rPr>
          <w:rFonts w:hint="eastAsia" w:ascii="微软雅黑" w:hAnsi="微软雅黑" w:eastAsia="微软雅黑" w:cs="微软雅黑"/>
        </w:rPr>
        <w:t>，</w:t>
      </w:r>
      <w:r>
        <w:rPr>
          <w:rFonts w:hint="eastAsia" w:ascii="微软雅黑" w:hAnsi="微软雅黑" w:eastAsia="微软雅黑" w:cs="微软雅黑"/>
          <w:lang w:val="en-US" w:eastAsia="zh-CN"/>
        </w:rPr>
        <w:t>专为满足工业领域和系统而设计，能在严苛的使用环境中长时间稳定运行。具备10个千兆以太网自适应电口，所有端口支持全线速转发。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default" w:ascii="Arial" w:hAnsi="Arial" w:eastAsia="宋体" w:cs="Arial"/>
          <w:b/>
          <w:color w:val="548235" w:themeColor="accent6" w:themeShade="BF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ONV-IPS33108工业以太网交换机具备极佳的工业现场环境适应性（包含机械稳定性、气候环境适应性、电磁环境适应性等）、防护等级达到 IP40、支持双冗余供电、低功耗无风扇散热技术、MTBF平均无故障工作时间可达35 年、超长5年质保，非管理机型，即插即用，无需配置，使用简单方便。</w:t>
      </w:r>
      <w:r>
        <w:rPr>
          <w:rFonts w:hint="eastAsia" w:ascii="微软雅黑" w:hAnsi="微软雅黑" w:eastAsia="微软雅黑" w:cs="微软雅黑"/>
        </w:rPr>
        <w:t>适合</w:t>
      </w:r>
      <w:r>
        <w:rPr>
          <w:rFonts w:hint="eastAsia" w:ascii="微软雅黑" w:hAnsi="微软雅黑" w:eastAsia="微软雅黑" w:cs="微软雅黑"/>
          <w:lang w:val="en-US" w:eastAsia="zh-CN"/>
        </w:rPr>
        <w:t>智能交通、轨道交通、电力行业</w:t>
      </w:r>
      <w:r>
        <w:rPr>
          <w:rFonts w:hint="eastAsia" w:ascii="微软雅黑" w:hAnsi="微软雅黑" w:eastAsia="微软雅黑" w:cs="微软雅黑"/>
        </w:rPr>
        <w:t>、</w:t>
      </w:r>
      <w:r>
        <w:rPr>
          <w:rFonts w:hint="eastAsia" w:ascii="微软雅黑" w:hAnsi="微软雅黑" w:eastAsia="微软雅黑" w:cs="微软雅黑"/>
          <w:lang w:val="en-US" w:eastAsia="zh-CN"/>
        </w:rPr>
        <w:t>矿业开采、石油、海运、冶金及绿色能源建设等工业场景</w:t>
      </w:r>
      <w:r>
        <w:rPr>
          <w:rFonts w:hint="eastAsia" w:ascii="微软雅黑" w:hAnsi="微软雅黑" w:eastAsia="微软雅黑" w:cs="微软雅黑"/>
        </w:rPr>
        <w:t>组建经济高效</w:t>
      </w:r>
      <w:r>
        <w:rPr>
          <w:rFonts w:hint="eastAsia" w:ascii="微软雅黑" w:hAnsi="微软雅黑" w:eastAsia="微软雅黑" w:cs="微软雅黑"/>
          <w:lang w:eastAsia="zh-CN"/>
        </w:rPr>
        <w:t>、</w:t>
      </w:r>
      <w:r>
        <w:rPr>
          <w:rFonts w:hint="eastAsia" w:ascii="微软雅黑" w:hAnsi="微软雅黑" w:eastAsia="微软雅黑" w:cs="微软雅黑"/>
          <w:lang w:val="en-US" w:eastAsia="zh-CN"/>
        </w:rPr>
        <w:t>稳定、可靠</w:t>
      </w:r>
      <w:r>
        <w:rPr>
          <w:rFonts w:hint="eastAsia" w:ascii="微软雅黑" w:hAnsi="微软雅黑" w:eastAsia="微软雅黑" w:cs="微软雅黑"/>
        </w:rPr>
        <w:t>的</w:t>
      </w:r>
      <w:r>
        <w:rPr>
          <w:rFonts w:hint="eastAsia" w:ascii="微软雅黑" w:hAnsi="微软雅黑" w:eastAsia="微软雅黑" w:cs="微软雅黑"/>
          <w:lang w:val="en-US" w:eastAsia="zh-CN"/>
        </w:rPr>
        <w:t>通信</w:t>
      </w:r>
      <w:r>
        <w:rPr>
          <w:rFonts w:hint="eastAsia" w:ascii="微软雅黑" w:hAnsi="微软雅黑" w:eastAsia="微软雅黑" w:cs="微软雅黑"/>
        </w:rPr>
        <w:t>网络。</w:t>
      </w: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default" w:ascii="Arial" w:hAnsi="Arial" w:cs="Arial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default" w:ascii="Arial" w:hAnsi="Arial" w:cs="Arial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产品特点</w:t>
      </w:r>
    </w:p>
    <w:p>
      <w:pPr>
        <w:pStyle w:val="8"/>
        <w:numPr>
          <w:ilvl w:val="0"/>
          <w:numId w:val="1"/>
        </w:numPr>
        <w:spacing w:line="400" w:lineRule="atLeast"/>
        <w:ind w:firstLineChars="0"/>
        <w:rPr>
          <w:rFonts w:hint="eastAsia" w:ascii="宋体" w:hAnsi="宋体"/>
          <w:b/>
          <w:color w:val="0070C0"/>
          <w:sz w:val="22"/>
          <w:szCs w:val="22"/>
          <w:lang w:val="en-US" w:eastAsia="zh-CN"/>
        </w:rPr>
      </w:pPr>
      <w:r>
        <w:rPr>
          <w:rFonts w:hint="eastAsia" w:ascii="宋体" w:hAnsi="宋体"/>
          <w:b/>
          <w:color w:val="0070C0"/>
          <w:sz w:val="22"/>
          <w:szCs w:val="22"/>
          <w:lang w:val="en-US" w:eastAsia="zh-CN"/>
        </w:rPr>
        <w:t>千兆线速转发</w:t>
      </w:r>
    </w:p>
    <w:p>
      <w:pPr>
        <w:spacing w:line="400" w:lineRule="atLeast"/>
        <w:ind w:left="210" w:hanging="210" w:hangingChars="100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 xml:space="preserve">◇ </w:t>
      </w:r>
      <w:r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  <w:t>全系列支持“</w:t>
      </w:r>
      <w:r>
        <w:rPr>
          <w:rFonts w:hint="eastAsia" w:cs="Times New Roman"/>
          <w:kern w:val="2"/>
          <w:sz w:val="21"/>
          <w:szCs w:val="22"/>
          <w:lang w:val="en-US" w:eastAsia="zh-CN" w:bidi="ar-SA"/>
        </w:rPr>
        <w:t>千</w:t>
      </w:r>
      <w:r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  <w:t>兆以太网口+</w:t>
      </w:r>
      <w:r>
        <w:rPr>
          <w:rFonts w:hint="eastAsia" w:cs="Times New Roman"/>
          <w:kern w:val="2"/>
          <w:sz w:val="21"/>
          <w:szCs w:val="22"/>
          <w:lang w:val="en-US" w:eastAsia="zh-CN" w:bidi="ar-SA"/>
        </w:rPr>
        <w:t>双千兆电口上行</w:t>
      </w:r>
      <w:r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  <w:t>”组合，方便用户灵活组网，满足各种场景组网需求；</w:t>
      </w:r>
    </w:p>
    <w:p>
      <w:pPr>
        <w:spacing w:line="400" w:lineRule="atLeast"/>
        <w:ind w:left="210" w:hanging="210" w:hangingChars="100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 xml:space="preserve">◇ </w:t>
      </w:r>
      <w:r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  <w:t>所有端口支持无阻塞线速转发，传输更流畅。</w:t>
      </w:r>
    </w:p>
    <w:p>
      <w:pPr>
        <w:spacing w:line="400" w:lineRule="atLeast"/>
        <w:ind w:left="210" w:hanging="210" w:hangingChars="100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 xml:space="preserve">◇ </w:t>
      </w:r>
      <w:r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  <w:t>支持IEEE 802.3x全双工流控和Backpressure半双工流控。</w:t>
      </w:r>
    </w:p>
    <w:p>
      <w:pPr>
        <w:pStyle w:val="8"/>
        <w:spacing w:line="20" w:lineRule="atLeast"/>
        <w:ind w:left="0" w:leftChars="0" w:firstLine="0" w:firstLineChars="0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</w:p>
    <w:p>
      <w:pPr>
        <w:pStyle w:val="8"/>
        <w:numPr>
          <w:ilvl w:val="0"/>
          <w:numId w:val="1"/>
        </w:numPr>
        <w:spacing w:line="400" w:lineRule="atLeast"/>
        <w:ind w:firstLineChars="0"/>
        <w:rPr>
          <w:rFonts w:hint="default" w:ascii="宋体" w:hAnsi="宋体"/>
          <w:b/>
          <w:color w:val="0070C0"/>
          <w:sz w:val="22"/>
          <w:szCs w:val="22"/>
          <w:lang w:val="en-US" w:eastAsia="zh-CN"/>
        </w:rPr>
      </w:pPr>
      <w:r>
        <w:rPr>
          <w:rFonts w:hint="default" w:ascii="宋体" w:hAnsi="宋体"/>
          <w:b/>
          <w:color w:val="0070C0"/>
          <w:sz w:val="22"/>
          <w:szCs w:val="22"/>
          <w:lang w:val="en-US" w:eastAsia="zh-CN"/>
        </w:rPr>
        <w:t>设备稳定可靠</w:t>
      </w:r>
    </w:p>
    <w:p>
      <w:pPr>
        <w:spacing w:line="360" w:lineRule="auto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bookmarkStart w:id="0" w:name="OLE_LINK1"/>
      <w:bookmarkStart w:id="1" w:name="OLE_LINK2"/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>◇</w:t>
      </w:r>
      <w:bookmarkEnd w:id="0"/>
      <w:bookmarkEnd w:id="1"/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 xml:space="preserve"> 主机低功耗、无风扇静音设计，铝合金材质金属外壳，散热优良，保证产品稳定运行。</w:t>
      </w:r>
    </w:p>
    <w:p>
      <w:pPr>
        <w:spacing w:line="360" w:lineRule="auto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>◇ 设备完全符合</w:t>
      </w:r>
      <w:r>
        <w:rPr>
          <w:rFonts w:hint="eastAsia" w:cs="Times New Roman"/>
          <w:kern w:val="2"/>
          <w:sz w:val="21"/>
          <w:szCs w:val="22"/>
          <w:lang w:val="en-US" w:eastAsia="zh-CN" w:bidi="ar-SA"/>
        </w:rPr>
        <w:t>3C、</w:t>
      </w: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>CE、FCC、RoHS安规要求，使用安全可靠。</w:t>
      </w:r>
    </w:p>
    <w:p>
      <w:pPr>
        <w:spacing w:line="360" w:lineRule="auto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>◇ 用户可通过电源指示灯(PWR)、端口状态指示灯（Link）轻松了解设备工作状态。</w:t>
      </w:r>
    </w:p>
    <w:p>
      <w:pPr>
        <w:spacing w:line="360" w:lineRule="auto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</w:p>
    <w:p>
      <w:pPr>
        <w:spacing w:line="360" w:lineRule="auto"/>
        <w:jc w:val="left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>
      <w:pPr>
        <w:spacing w:line="360" w:lineRule="auto"/>
        <w:jc w:val="left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产品技术与规格</w:t>
      </w:r>
    </w:p>
    <w:tbl>
      <w:tblPr>
        <w:tblStyle w:val="5"/>
        <w:tblpPr w:leftFromText="180" w:rightFromText="180" w:vertAnchor="text" w:horzAnchor="page" w:tblpXSpec="center" w:tblpY="290"/>
        <w:tblOverlap w:val="never"/>
        <w:tblW w:w="91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0"/>
        <w:gridCol w:w="3651"/>
        <w:gridCol w:w="37"/>
        <w:gridCol w:w="36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0" w:type="dxa"/>
            <w:shd w:val="clear" w:color="000000" w:fill="1E4D78" w:themeFill="accent1" w:themeFillShade="7F"/>
            <w:vAlign w:val="center"/>
          </w:tcPr>
          <w:p>
            <w:pPr>
              <w:widowControl/>
              <w:jc w:val="center"/>
              <w:rPr>
                <w:rFonts w:ascii="Arial" w:hAnsi="宋体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宋体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型号</w:t>
            </w:r>
          </w:p>
        </w:tc>
        <w:tc>
          <w:tcPr>
            <w:tcW w:w="3688" w:type="dxa"/>
            <w:gridSpan w:val="2"/>
            <w:shd w:val="clear" w:color="000000" w:fill="1E4D78" w:themeFill="accent1" w:themeFillShade="7F"/>
            <w:vAlign w:val="center"/>
          </w:tcPr>
          <w:p>
            <w:pPr>
              <w:widowControl/>
              <w:jc w:val="center"/>
              <w:rPr>
                <w:rFonts w:hint="default" w:ascii="Arial" w:hAnsi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ONV-IPS33064</w:t>
            </w:r>
          </w:p>
        </w:tc>
        <w:tc>
          <w:tcPr>
            <w:tcW w:w="3615" w:type="dxa"/>
            <w:shd w:val="clear" w:color="000000" w:fill="1E4D78" w:themeFill="accent1" w:themeFillShade="7F"/>
            <w:vAlign w:val="center"/>
          </w:tcPr>
          <w:p>
            <w:pPr>
              <w:widowControl/>
              <w:jc w:val="center"/>
              <w:rPr>
                <w:rFonts w:hint="default" w:ascii="Arial" w:hAnsi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ONV-IPS33108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13" w:type="dxa"/>
            <w:gridSpan w:val="4"/>
            <w:shd w:val="clear" w:color="000000" w:fill="2E75B5" w:themeFill="accent1" w:themeFillShade="BF"/>
            <w:vAlign w:val="center"/>
          </w:tcPr>
          <w:p>
            <w:pPr>
              <w:widowControl/>
              <w:jc w:val="left"/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Arial" w:hAnsi="宋体" w:cs="Arial"/>
                <w:b/>
                <w:bCs w:val="0"/>
                <w:color w:val="FFFFFF" w:themeColor="background1"/>
                <w:kern w:val="0"/>
                <w:sz w:val="22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端口特征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固定端口</w:t>
            </w:r>
          </w:p>
        </w:tc>
        <w:tc>
          <w:tcPr>
            <w:tcW w:w="3688" w:type="dxa"/>
            <w:gridSpan w:val="2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个10/100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/1000Base-T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RJ45端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口（Data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</w:p>
          <w:p>
            <w:pPr>
              <w:widowControl/>
              <w:jc w:val="left"/>
              <w:rPr>
                <w:rFonts w:hint="eastAsia" w:ascii="Arial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2组V+，V- 冗余DC电源接口（5P凤凰端子）</w:t>
            </w:r>
          </w:p>
        </w:tc>
        <w:tc>
          <w:tcPr>
            <w:tcW w:w="3615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个10/100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/1000Base-T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RJ45端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口（Data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2组V+，V- 冗余DC电源接口（5P凤凰端子）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网口特性</w:t>
            </w:r>
          </w:p>
        </w:tc>
        <w:tc>
          <w:tcPr>
            <w:tcW w:w="7303" w:type="dxa"/>
            <w:gridSpan w:val="3"/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1-6/10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口10/100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/1000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Base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-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X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自动侦测，全/半双工MDI/MDI-X自适应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hint="eastAsia" w:ascii="Calibri" w:hAnsi="Calibri" w:eastAsia="宋体" w:cs="Times New Roman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双绞线传输</w:t>
            </w:r>
          </w:p>
        </w:tc>
        <w:tc>
          <w:tcPr>
            <w:tcW w:w="7303" w:type="dxa"/>
            <w:gridSpan w:val="3"/>
            <w:vAlign w:val="top"/>
          </w:tcPr>
          <w:p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10BASE-T ： Cat3,4,5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 meter) </w:t>
            </w:r>
          </w:p>
          <w:p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 xml:space="preserve">100BASE-TX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Cat5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>100 meter)</w:t>
            </w:r>
          </w:p>
          <w:p>
            <w:pPr>
              <w:rPr>
                <w:rFonts w:hint="eastAsia" w:ascii="Calibri" w:hAnsi="Calibri" w:eastAsia="宋体" w:cs="Times New Roman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100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BASE-T ： Cat5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e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 xml:space="preserve"> or later UTP(≤100 meter)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9113" w:type="dxa"/>
            <w:gridSpan w:val="4"/>
            <w:shd w:val="clear" w:color="000000" w:fill="2E75B5" w:themeFill="accent1" w:themeFillShade="BF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交换芯片</w:t>
            </w: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hint="eastAsia" w:ascii="Calibri" w:hAnsi="Calibri" w:eastAsia="宋体" w:cs="Times New Roman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7303" w:type="dxa"/>
            <w:gridSpan w:val="3"/>
            <w:vAlign w:val="top"/>
          </w:tcPr>
          <w:p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IEEE802.3 10BASE-T； IEEE802.3i 10Base-T；</w:t>
            </w:r>
          </w:p>
          <w:p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IEEE802.3u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Ansi="宋体"/>
                <w:color w:val="auto"/>
                <w:sz w:val="18"/>
                <w:szCs w:val="18"/>
              </w:rPr>
              <w:t>100Base-TX；</w:t>
            </w:r>
          </w:p>
          <w:p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IEEE802.3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ab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Ansi="宋体"/>
                <w:color w:val="auto"/>
                <w:sz w:val="18"/>
                <w:szCs w:val="18"/>
              </w:rPr>
              <w:t>100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0</w:t>
            </w:r>
            <w:r>
              <w:rPr>
                <w:rFonts w:hAnsi="宋体"/>
                <w:color w:val="auto"/>
                <w:sz w:val="18"/>
                <w:szCs w:val="18"/>
              </w:rPr>
              <w:t>Base-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T</w:t>
            </w:r>
            <w:r>
              <w:rPr>
                <w:rFonts w:hAnsi="宋体"/>
                <w:color w:val="auto"/>
                <w:sz w:val="18"/>
                <w:szCs w:val="18"/>
              </w:rPr>
              <w:t>；</w:t>
            </w:r>
          </w:p>
          <w:p>
            <w:pP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IEEE802.3x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转发模式</w:t>
            </w:r>
          </w:p>
        </w:tc>
        <w:tc>
          <w:tcPr>
            <w:tcW w:w="7303" w:type="dxa"/>
            <w:gridSpan w:val="3"/>
          </w:tcPr>
          <w:p>
            <w:pP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存储转发（全线速）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背板带宽</w:t>
            </w:r>
          </w:p>
        </w:tc>
        <w:tc>
          <w:tcPr>
            <w:tcW w:w="7303" w:type="dxa"/>
            <w:gridSpan w:val="3"/>
          </w:tcPr>
          <w:p>
            <w:pP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16Gbps(无阻塞）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包转发率@64byte</w:t>
            </w:r>
          </w:p>
        </w:tc>
        <w:tc>
          <w:tcPr>
            <w:tcW w:w="3651" w:type="dxa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8.93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Mpps</w:t>
            </w:r>
          </w:p>
        </w:tc>
        <w:tc>
          <w:tcPr>
            <w:tcW w:w="3652" w:type="dxa"/>
            <w:gridSpan w:val="2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14.88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Mpps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MAC地址表</w:t>
            </w:r>
          </w:p>
        </w:tc>
        <w:tc>
          <w:tcPr>
            <w:tcW w:w="7303" w:type="dxa"/>
            <w:gridSpan w:val="3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包转发缓存</w:t>
            </w:r>
          </w:p>
        </w:tc>
        <w:tc>
          <w:tcPr>
            <w:tcW w:w="3651" w:type="dxa"/>
            <w:vAlign w:val="center"/>
          </w:tcPr>
          <w:p>
            <w:pPr>
              <w:widowControl/>
              <w:jc w:val="left"/>
              <w:rPr>
                <w:rFonts w:hint="default" w:ascii="宋体" w:hAnsi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2M</w:t>
            </w:r>
          </w:p>
        </w:tc>
        <w:tc>
          <w:tcPr>
            <w:tcW w:w="3652" w:type="dxa"/>
            <w:gridSpan w:val="2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巨型帧</w:t>
            </w:r>
          </w:p>
        </w:tc>
        <w:tc>
          <w:tcPr>
            <w:tcW w:w="7303" w:type="dxa"/>
            <w:gridSpan w:val="3"/>
            <w:vAlign w:val="center"/>
          </w:tcPr>
          <w:p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9.2K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Calibri" w:hAnsi="Calibri" w:eastAsia="宋体" w:cs="Times New Roman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LED指示灯</w:t>
            </w:r>
          </w:p>
        </w:tc>
        <w:tc>
          <w:tcPr>
            <w:tcW w:w="7303" w:type="dxa"/>
            <w:gridSpan w:val="3"/>
            <w:vAlign w:val="center"/>
          </w:tcPr>
          <w:p>
            <w:pPr>
              <w:pStyle w:val="9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电源指示灯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PWR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(绿色)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；</w:t>
            </w:r>
            <w:r>
              <w:rPr>
                <w:rFonts w:hint="eastAsia" w:hAnsi="宋体"/>
                <w:sz w:val="18"/>
                <w:szCs w:val="18"/>
              </w:rPr>
              <w:t>网络指示灯：</w:t>
            </w:r>
            <w:r>
              <w:rPr>
                <w:rFonts w:hint="eastAsia" w:hAnsi="宋体"/>
                <w:sz w:val="18"/>
                <w:szCs w:val="18"/>
                <w:lang w:val="en-US" w:eastAsia="zh-CN"/>
              </w:rPr>
              <w:t>Link,</w:t>
            </w:r>
            <w:r>
              <w:rPr>
                <w:rFonts w:hAnsi="宋体"/>
                <w:sz w:val="18"/>
                <w:szCs w:val="18"/>
              </w:rPr>
              <w:t>Link/Act</w:t>
            </w:r>
            <w:r>
              <w:rPr>
                <w:rFonts w:hint="eastAsia" w:hAnsi="宋体"/>
                <w:sz w:val="18"/>
                <w:szCs w:val="18"/>
              </w:rPr>
              <w:t>(黄色)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13" w:type="dxa"/>
            <w:gridSpan w:val="4"/>
            <w:shd w:val="clear" w:color="000000" w:fill="2E75B5" w:themeFill="accent1" w:themeFillShade="BF"/>
            <w:vAlign w:val="center"/>
          </w:tcPr>
          <w:p>
            <w:pPr>
              <w:rPr>
                <w:vertAlign w:val="baseline"/>
              </w:rPr>
            </w:pP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电源特征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  <w:lang w:val="en-US" w:eastAsia="zh-CN"/>
              </w:rPr>
              <w:t>工作</w:t>
            </w:r>
            <w:r>
              <w:rPr>
                <w:rFonts w:hint="default" w:ascii="Arial" w:hAnsi="Arial" w:cs="Arial"/>
                <w:kern w:val="0"/>
                <w:sz w:val="18"/>
                <w:szCs w:val="18"/>
              </w:rPr>
              <w:t>电压</w:t>
            </w:r>
          </w:p>
        </w:tc>
        <w:tc>
          <w:tcPr>
            <w:tcW w:w="7303" w:type="dxa"/>
            <w:gridSpan w:val="3"/>
            <w:vAlign w:val="top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Arial"/>
                <w:sz w:val="18"/>
                <w:szCs w:val="18"/>
                <w:lang w:val="en-US" w:eastAsia="zh-CN"/>
              </w:rPr>
              <w:t>直流供电，DC12-48V超宽供电电压，工规5P凤凰端子连接，支持防反接保护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整机功耗</w:t>
            </w:r>
          </w:p>
        </w:tc>
        <w:tc>
          <w:tcPr>
            <w:tcW w:w="3688" w:type="dxa"/>
            <w:gridSpan w:val="2"/>
            <w:vAlign w:val="top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待机功耗：＜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W；满载功耗：＜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3615" w:type="dxa"/>
            <w:vAlign w:val="top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待机功耗：＜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W；满载功耗：＜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0"/>
                <w:sz w:val="18"/>
                <w:szCs w:val="18"/>
              </w:rPr>
              <w:t>配套电源</w:t>
            </w:r>
          </w:p>
        </w:tc>
        <w:tc>
          <w:tcPr>
            <w:tcW w:w="7303" w:type="dxa"/>
            <w:gridSpan w:val="3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无，可选购工业电源24V/24W，见配件信息表选购使用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13" w:type="dxa"/>
            <w:gridSpan w:val="4"/>
            <w:shd w:val="clear" w:color="000000" w:fill="2E75B5" w:themeFill="accent1" w:themeFillShade="BF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物理</w:t>
            </w:r>
            <w:r>
              <w:rPr>
                <w:rFonts w:hint="eastAsia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规格</w:t>
            </w: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工作温度/湿度</w:t>
            </w:r>
          </w:p>
        </w:tc>
        <w:tc>
          <w:tcPr>
            <w:tcW w:w="7303" w:type="dxa"/>
            <w:gridSpan w:val="3"/>
            <w:shd w:val="clear" w:color="auto" w:fill="auto"/>
            <w:vAlign w:val="center"/>
          </w:tcPr>
          <w:p>
            <w:pPr>
              <w:widowControl/>
              <w:jc w:val="left"/>
              <w:rPr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0～+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°C；5%～90% RH无凝结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存储温度/湿度</w:t>
            </w:r>
          </w:p>
        </w:tc>
        <w:tc>
          <w:tcPr>
            <w:tcW w:w="7303" w:type="dxa"/>
            <w:gridSpan w:val="3"/>
            <w:shd w:val="clear" w:color="auto" w:fill="auto"/>
            <w:vAlign w:val="center"/>
          </w:tcPr>
          <w:p>
            <w:pPr>
              <w:widowControl/>
              <w:jc w:val="left"/>
              <w:rPr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-40～+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5°C；5%～95% RH无凝结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外观尺寸（L*W*H）</w:t>
            </w:r>
          </w:p>
        </w:tc>
        <w:tc>
          <w:tcPr>
            <w:tcW w:w="3651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119*100*30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mm</w:t>
            </w:r>
          </w:p>
        </w:tc>
        <w:tc>
          <w:tcPr>
            <w:tcW w:w="3652" w:type="dxa"/>
            <w:gridSpan w:val="2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145*134.5*47.5mm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净重/毛重</w:t>
            </w:r>
          </w:p>
        </w:tc>
        <w:tc>
          <w:tcPr>
            <w:tcW w:w="365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0.6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kg / 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0.8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kg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1.0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 / ＜1.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安装方式</w:t>
            </w:r>
          </w:p>
        </w:tc>
        <w:tc>
          <w:tcPr>
            <w:tcW w:w="7303" w:type="dxa"/>
            <w:gridSpan w:val="3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桌面式、35mm DIN卡轨式安装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13" w:type="dxa"/>
            <w:gridSpan w:val="4"/>
            <w:shd w:val="clear" w:color="000000" w:fill="2E75B5" w:themeFill="accent1" w:themeFillShade="BF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产品认证与质保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防雷/防护等级</w:t>
            </w:r>
          </w:p>
        </w:tc>
        <w:tc>
          <w:tcPr>
            <w:tcW w:w="7303" w:type="dxa"/>
            <w:gridSpan w:val="3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端口防雷：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KV 8/20us；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防护等级：IP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  <w:p>
            <w:pPr>
              <w:pStyle w:val="11"/>
              <w:spacing w:before="93" w:after="93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IEC61000-4-2（ESD）：±8kV接触放电，±15kV空气放电</w:t>
            </w:r>
          </w:p>
          <w:p>
            <w:pPr>
              <w:pStyle w:val="11"/>
              <w:spacing w:before="93" w:after="93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IEC61000-4-3（RS）：10V/m（80~1000MHz）</w:t>
            </w:r>
          </w:p>
          <w:p>
            <w:pPr>
              <w:pStyle w:val="11"/>
              <w:spacing w:before="93" w:after="93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IEC61000-4-4（EFT）：电源线：±4kV；数据线：±2kV</w:t>
            </w:r>
          </w:p>
          <w:p>
            <w:pPr>
              <w:pStyle w:val="11"/>
              <w:spacing w:before="93" w:after="93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IEC61000-4-5（Surge）：电源线：CM±4kV/DM±2kV；数据线：±4kV</w:t>
            </w:r>
          </w:p>
          <w:p>
            <w:pPr>
              <w:pStyle w:val="11"/>
              <w:spacing w:before="93" w:after="93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IEC61000-4-6（射频传导）：10V（150kHz~80MHz）</w:t>
            </w:r>
          </w:p>
          <w:p>
            <w:pPr>
              <w:pStyle w:val="11"/>
              <w:spacing w:before="93" w:after="93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IEC61000-4-8（工频磁场）：100A/m持续；1000A/m ，1s to 3s</w:t>
            </w:r>
          </w:p>
          <w:p>
            <w:pPr>
              <w:pStyle w:val="11"/>
              <w:spacing w:before="93" w:after="93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IEC61000-4-9（脉冲磁场）：1000A/m</w:t>
            </w:r>
          </w:p>
          <w:p>
            <w:pPr>
              <w:pStyle w:val="11"/>
              <w:spacing w:before="93" w:after="93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IEC61000-4-10（阻尼振荡）：30A/m  1MHz</w:t>
            </w:r>
          </w:p>
          <w:p>
            <w:pPr>
              <w:pStyle w:val="11"/>
              <w:spacing w:before="93" w:after="93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IEC61000-4-12/18（震荡波）：CM 2.5kV，DM 1kV</w:t>
            </w:r>
          </w:p>
          <w:p>
            <w:pPr>
              <w:pStyle w:val="11"/>
              <w:spacing w:before="93" w:after="93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IEC61000-4-16（共模传导）：30V持续；300V，1s</w:t>
            </w:r>
          </w:p>
          <w:p>
            <w:pPr>
              <w:pStyle w:val="11"/>
              <w:spacing w:before="93" w:after="93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 xml:space="preserve">FCC Part 15/CISPR22（EN55022）：Class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 w:bidi="ar-SA"/>
              </w:rPr>
              <w:t>B</w:t>
            </w:r>
          </w:p>
          <w:p>
            <w:pPr>
              <w:pStyle w:val="11"/>
              <w:spacing w:before="93" w:after="93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IEC61000-6-2（通用工业标准）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机械特性</w:t>
            </w:r>
          </w:p>
        </w:tc>
        <w:tc>
          <w:tcPr>
            <w:tcW w:w="7303" w:type="dxa"/>
            <w:gridSpan w:val="3"/>
            <w:shd w:val="clear" w:color="auto" w:fill="auto"/>
            <w:vAlign w:val="center"/>
          </w:tcPr>
          <w:p>
            <w:pPr>
              <w:pStyle w:val="11"/>
              <w:spacing w:before="93" w:after="93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IEC60068-2-6（抗振动）</w:t>
            </w:r>
          </w:p>
          <w:p>
            <w:pPr>
              <w:pStyle w:val="11"/>
              <w:spacing w:before="93" w:after="93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IEC60068-2-27（抗冲击）</w:t>
            </w:r>
          </w:p>
          <w:p>
            <w:pPr>
              <w:pStyle w:val="11"/>
              <w:spacing w:before="93" w:after="93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IEC60068-2-32（自由下落）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安规认证</w:t>
            </w:r>
          </w:p>
        </w:tc>
        <w:tc>
          <w:tcPr>
            <w:tcW w:w="7303" w:type="dxa"/>
            <w:gridSpan w:val="3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3C；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CE mark, commercial；CE/LVD EN60950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；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FCC Part 15 Class B；</w:t>
            </w:r>
          </w:p>
          <w:p>
            <w:pPr>
              <w:widowControl/>
              <w:jc w:val="left"/>
              <w:rPr>
                <w:vertAlign w:val="baseline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R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oHS；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>
            <w:pPr>
              <w:pStyle w:val="8"/>
              <w:spacing w:before="100" w:beforeAutospacing="1" w:after="100" w:afterAutospacing="1"/>
              <w:ind w:firstLine="0" w:firstLineChars="0"/>
              <w:rPr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质保期</w:t>
            </w:r>
          </w:p>
        </w:tc>
        <w:tc>
          <w:tcPr>
            <w:tcW w:w="7303" w:type="dxa"/>
            <w:gridSpan w:val="3"/>
            <w:shd w:val="clear" w:color="auto" w:fill="auto"/>
            <w:vAlign w:val="center"/>
          </w:tcPr>
          <w:p>
            <w:pPr>
              <w:widowControl/>
              <w:jc w:val="left"/>
              <w:rPr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交换机5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年，终身维护</w:t>
            </w:r>
          </w:p>
        </w:tc>
      </w:tr>
    </w:tbl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default" w:ascii="Arial" w:hAnsi="Arial" w:cs="Arial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default" w:ascii="Arial" w:hAnsi="Arial" w:cs="Arial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default" w:ascii="Arial" w:hAnsi="Arial" w:cs="Arial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default" w:ascii="Arial" w:hAnsi="Arial" w:cs="Arial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Arial" w:hAnsi="Arial" w:eastAsia="宋体" w:cs="Arial"/>
          <w:b/>
          <w:color w:val="548235" w:themeColor="accent6" w:themeShade="BF"/>
          <w:sz w:val="28"/>
          <w:szCs w:val="28"/>
          <w:lang w:eastAsia="zh-CN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352425</wp:posOffset>
            </wp:positionH>
            <wp:positionV relativeFrom="paragraph">
              <wp:posOffset>332105</wp:posOffset>
            </wp:positionV>
            <wp:extent cx="5272405" cy="4561205"/>
            <wp:effectExtent l="0" t="0" r="4445" b="10795"/>
            <wp:wrapNone/>
            <wp:docPr id="4" name="图片 4" descr="IPS33108 尺寸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PS33108 尺寸图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561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Arial" w:hAnsi="Arial" w:cs="Arial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产品尺寸规格</w:t>
      </w: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Arial" w:hAnsi="Arial" w:eastAsia="宋体" w:cs="Arial"/>
          <w:b/>
          <w:color w:val="548235" w:themeColor="accent6" w:themeShade="BF"/>
          <w:sz w:val="28"/>
          <w:szCs w:val="28"/>
          <w:lang w:eastAsia="zh-CN"/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default" w:ascii="Arial" w:hAnsi="Arial" w:cs="Arial"/>
          <w:b/>
          <w:color w:val="548235" w:themeColor="accent6" w:themeShade="BF"/>
          <w:sz w:val="28"/>
          <w:szCs w:val="28"/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default" w:ascii="Arial" w:hAnsi="Arial" w:cs="Arial"/>
          <w:b/>
          <w:color w:val="548235" w:themeColor="accent6" w:themeShade="BF"/>
          <w:sz w:val="28"/>
          <w:szCs w:val="28"/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Arial" w:hAnsi="Arial" w:eastAsia="宋体" w:cs="Arial"/>
          <w:b/>
          <w:color w:val="548235" w:themeColor="accent6" w:themeShade="BF"/>
          <w:sz w:val="28"/>
          <w:szCs w:val="28"/>
          <w:lang w:eastAsia="zh-CN"/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548235" w:themeColor="accent6" w:themeShade="BF"/>
          <w:sz w:val="28"/>
          <w:szCs w:val="28"/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548235" w:themeColor="accent6" w:themeShade="BF"/>
          <w:sz w:val="28"/>
          <w:szCs w:val="28"/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548235" w:themeColor="accent6" w:themeShade="BF"/>
          <w:sz w:val="28"/>
          <w:szCs w:val="28"/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 w:eastAsia="宋体"/>
          <w:b/>
          <w:color w:val="548235" w:themeColor="accent6" w:themeShade="BF"/>
          <w:sz w:val="32"/>
          <w:szCs w:val="32"/>
          <w:lang w:eastAsia="zh-CN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444500</wp:posOffset>
            </wp:positionV>
            <wp:extent cx="5260975" cy="3009265"/>
            <wp:effectExtent l="0" t="0" r="15875" b="635"/>
            <wp:wrapNone/>
            <wp:docPr id="11" name="图片 11" descr="IPS33108 链接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IPS33108 链接图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3009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产品连接拓扑</w:t>
      </w: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b/>
          <w:color w:val="548235" w:themeColor="accent6" w:themeShade="BF"/>
          <w:sz w:val="32"/>
          <w:szCs w:val="32"/>
          <w:lang w:eastAsia="zh-CN"/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b/>
          <w:color w:val="548235" w:themeColor="accent6" w:themeShade="BF"/>
          <w:sz w:val="32"/>
          <w:szCs w:val="32"/>
          <w:lang w:eastAsia="zh-CN"/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b/>
          <w:color w:val="548235" w:themeColor="accent6" w:themeShade="BF"/>
          <w:sz w:val="32"/>
          <w:szCs w:val="32"/>
          <w:lang w:eastAsia="zh-CN"/>
        </w:rPr>
      </w:pPr>
    </w:p>
    <w:p>
      <w:pPr>
        <w:pStyle w:val="8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宋体" w:hAnsi="宋体" w:eastAsia="宋体"/>
          <w:b/>
          <w:color w:val="548235" w:themeColor="accent6" w:themeShade="BF"/>
          <w:sz w:val="32"/>
          <w:szCs w:val="32"/>
          <w:lang w:eastAsia="zh-CN"/>
        </w:rPr>
      </w:pPr>
    </w:p>
    <w:p>
      <w:pPr>
        <w:pStyle w:val="8"/>
        <w:spacing w:before="100" w:beforeAutospacing="1" w:after="100" w:afterAutospacing="1"/>
        <w:ind w:firstLine="0" w:firstLineChars="0"/>
        <w:rPr>
          <w:rFonts w:hint="default" w:ascii="Arial" w:hAnsi="Arial" w:cs="Arial"/>
          <w:b/>
          <w:color w:val="548235" w:themeColor="accent6" w:themeShade="BF"/>
          <w:sz w:val="32"/>
          <w:szCs w:val="32"/>
        </w:rPr>
      </w:pPr>
    </w:p>
    <w:p>
      <w:pPr>
        <w:rPr>
          <w:rFonts w:hint="default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  <w:r>
        <w:rPr>
          <w:rFonts w:hint="default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  <w:t>包装清单</w:t>
      </w:r>
    </w:p>
    <w:tbl>
      <w:tblPr>
        <w:tblStyle w:val="4"/>
        <w:tblpPr w:leftFromText="180" w:rightFromText="180" w:vertAnchor="text" w:horzAnchor="margin" w:tblpXSpec="center" w:tblpY="358"/>
        <w:tblW w:w="849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5370"/>
        <w:gridCol w:w="709"/>
        <w:gridCol w:w="709"/>
      </w:tblGrid>
      <w:tr>
        <w:trPr>
          <w:trHeight w:val="307" w:hRule="atLeast"/>
          <w:jc w:val="center"/>
        </w:trPr>
        <w:tc>
          <w:tcPr>
            <w:tcW w:w="17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>
            <w:pPr>
              <w:widowControl/>
              <w:jc w:val="center"/>
              <w:rPr>
                <w:rFonts w:hint="default" w:ascii="Arial" w:hAnsi="Arial" w:cs="Arial"/>
                <w:b/>
                <w:kern w:val="0"/>
                <w:sz w:val="24"/>
                <w:szCs w:val="18"/>
              </w:rPr>
            </w:pPr>
            <w:r>
              <w:rPr>
                <w:rFonts w:hint="default" w:ascii="Arial" w:hAnsi="Arial" w:cs="Arial"/>
                <w:b/>
                <w:kern w:val="0"/>
                <w:sz w:val="24"/>
                <w:szCs w:val="18"/>
              </w:rPr>
              <w:t>包装清单</w:t>
            </w:r>
          </w:p>
        </w:tc>
        <w:tc>
          <w:tcPr>
            <w:tcW w:w="5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>
            <w:pPr>
              <w:widowControl/>
              <w:jc w:val="center"/>
              <w:rPr>
                <w:rFonts w:hint="default" w:ascii="Arial" w:hAnsi="Arial" w:cs="Arial"/>
                <w:b/>
                <w:kern w:val="0"/>
                <w:szCs w:val="18"/>
              </w:rPr>
            </w:pPr>
            <w:r>
              <w:rPr>
                <w:rFonts w:hint="default" w:ascii="Arial" w:hAnsi="Arial" w:cs="Arial"/>
                <w:b/>
                <w:kern w:val="0"/>
                <w:szCs w:val="18"/>
              </w:rPr>
              <w:t>物品名称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>
            <w:pPr>
              <w:widowControl/>
              <w:jc w:val="center"/>
              <w:rPr>
                <w:rFonts w:hint="default" w:ascii="Arial" w:hAnsi="Arial" w:cs="Arial"/>
                <w:b/>
                <w:kern w:val="0"/>
                <w:szCs w:val="18"/>
              </w:rPr>
            </w:pPr>
            <w:r>
              <w:rPr>
                <w:rFonts w:hint="default" w:ascii="Arial" w:hAnsi="Arial" w:cs="Arial"/>
                <w:b/>
                <w:kern w:val="0"/>
                <w:szCs w:val="18"/>
              </w:rPr>
              <w:t>数量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>
            <w:pPr>
              <w:widowControl/>
              <w:jc w:val="center"/>
              <w:rPr>
                <w:rFonts w:hint="default" w:ascii="Arial" w:hAnsi="Arial" w:cs="Arial"/>
                <w:b/>
                <w:kern w:val="0"/>
                <w:szCs w:val="18"/>
              </w:rPr>
            </w:pPr>
            <w:r>
              <w:rPr>
                <w:rFonts w:hint="default" w:ascii="Arial" w:hAnsi="Arial" w:cs="Arial"/>
                <w:b/>
                <w:kern w:val="0"/>
                <w:szCs w:val="18"/>
              </w:rPr>
              <w:t>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kern w:val="0"/>
                <w:sz w:val="24"/>
                <w:szCs w:val="18"/>
              </w:rPr>
            </w:pPr>
          </w:p>
        </w:tc>
        <w:tc>
          <w:tcPr>
            <w:tcW w:w="5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10口全千兆工业以太网交换机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Arial" w:hAnsi="Arial" w:cs="Arial"/>
                <w:kern w:val="0"/>
                <w:sz w:val="18"/>
                <w:szCs w:val="18"/>
              </w:rPr>
            </w:pPr>
            <w:r>
              <w:rPr>
                <w:rFonts w:hint="default" w:ascii="Arial" w:hAnsi="Arial" w:cs="Arial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Arial" w:hAnsi="Arial" w:cs="Arial"/>
                <w:kern w:val="0"/>
                <w:sz w:val="18"/>
                <w:szCs w:val="18"/>
              </w:rPr>
            </w:pPr>
            <w:r>
              <w:rPr>
                <w:rFonts w:hint="default" w:ascii="Arial" w:hAnsi="Arial" w:cs="Arial"/>
                <w:kern w:val="0"/>
                <w:sz w:val="18"/>
                <w:szCs w:val="18"/>
              </w:rPr>
              <w:t>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hint="default"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5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default" w:ascii="Arial" w:hAnsi="Arial" w:cs="Arial"/>
                <w:kern w:val="0"/>
                <w:sz w:val="18"/>
                <w:szCs w:val="18"/>
              </w:rPr>
            </w:pPr>
            <w:r>
              <w:rPr>
                <w:rFonts w:hint="default" w:ascii="Arial" w:hAnsi="Arial" w:cs="Arial"/>
                <w:kern w:val="0"/>
                <w:sz w:val="18"/>
                <w:szCs w:val="18"/>
              </w:rPr>
              <w:t>快速使用指南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Arial" w:hAnsi="Arial" w:cs="Arial"/>
                <w:kern w:val="0"/>
                <w:sz w:val="18"/>
                <w:szCs w:val="18"/>
              </w:rPr>
            </w:pPr>
            <w:r>
              <w:rPr>
                <w:rFonts w:hint="default" w:ascii="Arial" w:hAnsi="Arial" w:cs="Arial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Arial" w:hAnsi="Arial" w:cs="Arial"/>
                <w:kern w:val="0"/>
                <w:sz w:val="18"/>
                <w:szCs w:val="18"/>
              </w:rPr>
            </w:pPr>
            <w:r>
              <w:rPr>
                <w:rFonts w:hint="default" w:ascii="Arial" w:hAnsi="Arial" w:cs="Arial"/>
                <w:kern w:val="0"/>
                <w:sz w:val="18"/>
                <w:szCs w:val="18"/>
              </w:rPr>
              <w:t>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hint="default"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5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default" w:ascii="Arial" w:hAnsi="Arial" w:cs="Arial"/>
                <w:kern w:val="0"/>
                <w:sz w:val="18"/>
                <w:szCs w:val="18"/>
              </w:rPr>
            </w:pPr>
            <w:r>
              <w:rPr>
                <w:rFonts w:hint="default" w:ascii="Arial" w:hAnsi="Arial" w:cs="Arial"/>
                <w:kern w:val="0"/>
                <w:sz w:val="18"/>
                <w:szCs w:val="18"/>
              </w:rPr>
              <w:t>保修卡与合格证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Arial" w:hAnsi="Arial" w:cs="Arial"/>
                <w:kern w:val="0"/>
                <w:sz w:val="18"/>
                <w:szCs w:val="18"/>
              </w:rPr>
            </w:pPr>
            <w:r>
              <w:rPr>
                <w:rFonts w:hint="default" w:ascii="Arial" w:hAnsi="Arial" w:cs="Arial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Arial" w:hAnsi="Arial" w:cs="Arial"/>
                <w:kern w:val="0"/>
                <w:sz w:val="18"/>
                <w:szCs w:val="18"/>
              </w:rPr>
            </w:pPr>
            <w:r>
              <w:rPr>
                <w:rFonts w:hint="default" w:ascii="Arial" w:hAnsi="Arial" w:cs="Arial"/>
                <w:kern w:val="0"/>
                <w:sz w:val="18"/>
                <w:szCs w:val="18"/>
              </w:rPr>
              <w:t>份</w:t>
            </w:r>
          </w:p>
        </w:tc>
      </w:tr>
    </w:tbl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default" w:ascii="Arial" w:hAnsi="Arial" w:cs="Arial"/>
          <w:b/>
          <w:color w:val="ED7D31" w:themeColor="accent2"/>
          <w:sz w:val="24"/>
          <w:szCs w:val="24"/>
          <w14:textFill>
            <w14:solidFill>
              <w14:schemeClr w14:val="accent2"/>
            </w14:solidFill>
          </w14:textFill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default" w:ascii="Arial" w:hAnsi="Arial" w:cs="Arial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default" w:ascii="Arial" w:hAnsi="Arial" w:cs="Arial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订购信息</w:t>
      </w:r>
    </w:p>
    <w:tbl>
      <w:tblPr>
        <w:tblStyle w:val="4"/>
        <w:tblW w:w="863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4"/>
        <w:gridCol w:w="5640"/>
        <w:gridCol w:w="153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>
            <w:pPr>
              <w:widowControl/>
              <w:jc w:val="center"/>
              <w:rPr>
                <w:rFonts w:hint="default" w:ascii="Arial" w:hAnsi="Arial" w:cs="Arial"/>
                <w:b/>
                <w:kern w:val="0"/>
                <w:szCs w:val="18"/>
              </w:rPr>
            </w:pPr>
            <w:r>
              <w:rPr>
                <w:rFonts w:hint="default" w:ascii="Arial" w:hAnsi="Arial" w:cs="Arial"/>
                <w:b/>
                <w:kern w:val="0"/>
                <w:szCs w:val="18"/>
              </w:rPr>
              <w:t>设备名称</w:t>
            </w:r>
          </w:p>
        </w:tc>
        <w:tc>
          <w:tcPr>
            <w:tcW w:w="5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>
            <w:pPr>
              <w:widowControl/>
              <w:jc w:val="center"/>
              <w:rPr>
                <w:rFonts w:hint="default" w:ascii="Arial" w:hAnsi="Arial" w:cs="Arial"/>
                <w:b/>
                <w:kern w:val="0"/>
                <w:szCs w:val="18"/>
              </w:rPr>
            </w:pPr>
            <w:r>
              <w:rPr>
                <w:rFonts w:hint="default" w:ascii="Arial" w:hAnsi="Arial" w:cs="Arial"/>
                <w:b/>
                <w:kern w:val="0"/>
                <w:szCs w:val="18"/>
              </w:rPr>
              <w:t>设备信息</w:t>
            </w: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>
            <w:pPr>
              <w:widowControl/>
              <w:jc w:val="center"/>
              <w:rPr>
                <w:rFonts w:hint="default" w:ascii="Arial" w:hAnsi="Arial" w:cs="Arial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  <w:lang w:val="en-US" w:eastAsia="zh-CN"/>
              </w:rPr>
              <w:t>建议电源功率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eastAsia="zh-CN"/>
              </w:rPr>
              <w:t>ONV-IPS3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3064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非管理6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eastAsia="zh-CN"/>
              </w:rPr>
              <w:t>个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10/100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/1000M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RJ45端口工业以太网交换机，支持双DC冗余电源输入，支持导轨式安装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。</w:t>
            </w: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24W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eastAsia="zh-CN"/>
              </w:rPr>
              <w:t>ONV-IPS3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3108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非管理10个10/100/1000M RJ45端口工业以太网交换机，支持双DC冗余电源输入，支持导轨式安装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。</w:t>
            </w: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24W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6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>
            <w:pPr>
              <w:pStyle w:val="8"/>
              <w:spacing w:before="100" w:beforeAutospacing="1" w:after="100" w:afterAutospacing="1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说明：本产品默认不配套电源，如需选购，请参考配件产品信息。</w:t>
            </w:r>
          </w:p>
        </w:tc>
      </w:tr>
    </w:tbl>
    <w:p>
      <w:pPr>
        <w:rPr>
          <w:rFonts w:hint="default" w:ascii="Arial" w:hAnsi="Arial" w:cs="Arial"/>
          <w:b/>
          <w:color w:val="ED7D31" w:themeColor="accent2"/>
          <w:sz w:val="32"/>
          <w14:textFill>
            <w14:solidFill>
              <w14:schemeClr w14:val="accent2"/>
            </w14:solidFill>
          </w14:textFill>
        </w:rPr>
      </w:pPr>
    </w:p>
    <w:p>
      <w:pPr>
        <w:rPr>
          <w:rFonts w:hint="default" w:ascii="Arial" w:hAnsi="Arial" w:cs="Arial"/>
          <w:b/>
          <w:color w:val="ED7D31" w:themeColor="accent2"/>
          <w:sz w:val="32"/>
          <w14:textFill>
            <w14:solidFill>
              <w14:schemeClr w14:val="accent2"/>
            </w14:solidFill>
          </w14:textFill>
        </w:rPr>
      </w:pPr>
      <w:r>
        <w:rPr>
          <w:rFonts w:hint="default" w:ascii="Arial" w:hAnsi="Arial" w:cs="Arial"/>
          <w:b/>
          <w:color w:val="ED7D31" w:themeColor="accent2"/>
          <w:sz w:val="32"/>
          <w14:textFill>
            <w14:solidFill>
              <w14:schemeClr w14:val="accent2"/>
            </w14:solidFill>
          </w14:textFill>
        </w:rPr>
        <w:t>选配信息</w:t>
      </w:r>
    </w:p>
    <w:p>
      <w:pPr>
        <w:rPr>
          <w:rFonts w:hint="default" w:ascii="Arial" w:hAnsi="Arial" w:cs="Arial"/>
          <w:b/>
          <w:color w:val="0000FF"/>
          <w:sz w:val="22"/>
          <w:szCs w:val="18"/>
          <w:highlight w:val="lightGray"/>
          <w:lang w:val="en-US" w:eastAsia="zh-CN"/>
        </w:rPr>
      </w:pPr>
      <w:r>
        <w:rPr>
          <w:rFonts w:hint="default" w:ascii="Arial" w:hAnsi="Arial" w:cs="Arial"/>
          <w:b/>
          <w:color w:val="0000FF"/>
          <w:sz w:val="22"/>
          <w:szCs w:val="18"/>
          <w:highlight w:val="lightGray"/>
          <w:lang w:val="en-US" w:eastAsia="zh-CN"/>
        </w:rPr>
        <w:t>电源选型表</w:t>
      </w:r>
    </w:p>
    <w:p>
      <w:pPr>
        <w:rPr>
          <w:rFonts w:hint="default" w:ascii="Arial" w:hAnsi="Arial" w:cs="Arial"/>
          <w:b/>
          <w:color w:val="0000FF"/>
          <w:sz w:val="22"/>
          <w:szCs w:val="18"/>
          <w:highlight w:val="lightGray"/>
          <w:lang w:val="en-US" w:eastAsia="zh-CN"/>
        </w:rPr>
      </w:pPr>
    </w:p>
    <w:tbl>
      <w:tblPr>
        <w:tblStyle w:val="5"/>
        <w:tblW w:w="85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0"/>
        <w:gridCol w:w="1665"/>
        <w:gridCol w:w="3983"/>
        <w:gridCol w:w="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0" w:type="dxa"/>
            <w:vAlign w:val="top"/>
          </w:tcPr>
          <w:p>
            <w:pPr>
              <w:jc w:val="center"/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b/>
                <w:bCs/>
              </w:rPr>
              <w:t>名称</w:t>
            </w:r>
          </w:p>
        </w:tc>
        <w:tc>
          <w:tcPr>
            <w:tcW w:w="1665" w:type="dxa"/>
            <w:vAlign w:val="top"/>
          </w:tcPr>
          <w:p>
            <w:pPr>
              <w:jc w:val="center"/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b/>
                <w:bCs/>
              </w:rPr>
              <w:t>型号</w:t>
            </w:r>
          </w:p>
        </w:tc>
        <w:tc>
          <w:tcPr>
            <w:tcW w:w="3983" w:type="dxa"/>
            <w:vAlign w:val="top"/>
          </w:tcPr>
          <w:p>
            <w:pPr>
              <w:jc w:val="center"/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b/>
                <w:bCs/>
              </w:rPr>
              <w:t>描述</w:t>
            </w:r>
          </w:p>
        </w:tc>
        <w:tc>
          <w:tcPr>
            <w:tcW w:w="840" w:type="dxa"/>
            <w:vAlign w:val="top"/>
          </w:tcPr>
          <w:p>
            <w:pPr>
              <w:jc w:val="center"/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b/>
                <w:bCs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0" w:type="dxa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0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2"/>
                <w:lang w:val="en-US" w:eastAsia="zh-CN"/>
              </w:rPr>
              <w:t>工业24W导轨电源</w:t>
            </w:r>
          </w:p>
        </w:tc>
        <w:tc>
          <w:tcPr>
            <w:tcW w:w="1665" w:type="dxa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0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2"/>
                <w:lang w:val="en-US" w:eastAsia="zh-CN"/>
              </w:rPr>
              <w:t>GWS-DP24-24</w:t>
            </w:r>
          </w:p>
        </w:tc>
        <w:tc>
          <w:tcPr>
            <w:tcW w:w="3983" w:type="dxa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导轨型 24W单组输出工业电源；</w:t>
            </w: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额定输入电压：AC 100V~240V 50-60H，0.35A</w:t>
            </w: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额定输出电压：DC 24V 1.0A</w:t>
            </w: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工作温度：-40℃—+70℃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只</w:t>
            </w:r>
          </w:p>
        </w:tc>
      </w:tr>
    </w:tbl>
    <w:p>
      <w:pPr>
        <w:rPr>
          <w:rFonts w:hint="default" w:ascii="Arial" w:hAnsi="Arial" w:cs="Arial"/>
          <w:b/>
          <w:color w:val="0000FF"/>
          <w:sz w:val="24"/>
          <w:szCs w:val="20"/>
          <w:highlight w:val="lightGray"/>
          <w:lang w:val="en-US" w:eastAsia="zh-CN"/>
        </w:rPr>
      </w:pPr>
    </w:p>
    <w:p>
      <w:pPr>
        <w:rPr>
          <w:rFonts w:hint="eastAsia"/>
          <w:b/>
          <w:bCs/>
          <w:color w:val="ED7D31" w:themeColor="accent2"/>
          <w:sz w:val="21"/>
          <w:szCs w:val="21"/>
          <w:highlight w:val="none"/>
          <w:lang w:eastAsia="zh-CN"/>
          <w14:textFill>
            <w14:solidFill>
              <w14:schemeClr w14:val="accent2"/>
            </w14:solidFill>
          </w14:textFill>
        </w:rPr>
      </w:pPr>
    </w:p>
    <w:p>
      <w:pPr>
        <w:rPr>
          <w:rFonts w:hint="eastAsia"/>
          <w:b/>
          <w:bCs/>
          <w:color w:val="ED7D31" w:themeColor="accent2"/>
          <w:sz w:val="21"/>
          <w:szCs w:val="21"/>
          <w:highlight w:val="none"/>
          <w:lang w:eastAsia="zh-CN"/>
          <w14:textFill>
            <w14:solidFill>
              <w14:schemeClr w14:val="accent2"/>
            </w14:solidFill>
          </w14:textFill>
        </w:rPr>
      </w:pPr>
      <w:r>
        <w:rPr>
          <w:rFonts w:hint="eastAsia"/>
          <w:b/>
          <w:bCs/>
          <w:color w:val="ED7D31" w:themeColor="accent2"/>
          <w:sz w:val="21"/>
          <w:szCs w:val="21"/>
          <w:highlight w:val="none"/>
          <w:lang w:eastAsia="zh-CN"/>
          <w14:textFill>
            <w14:solidFill>
              <w14:schemeClr w14:val="accent2"/>
            </w14:solidFill>
          </w14:textFill>
        </w:rPr>
        <w:t>相关产品信息</w:t>
      </w:r>
    </w:p>
    <w:p>
      <w:pPr>
        <w:rPr>
          <w:rFonts w:hint="eastAsia"/>
          <w:b/>
          <w:bCs/>
          <w:color w:val="FFC000"/>
          <w:sz w:val="24"/>
          <w:szCs w:val="24"/>
          <w:highlight w:val="red"/>
          <w:lang w:eastAsia="zh-CN"/>
        </w:rPr>
      </w:pPr>
    </w:p>
    <w:tbl>
      <w:tblPr>
        <w:tblStyle w:val="4"/>
        <w:tblW w:w="857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0"/>
        <w:gridCol w:w="681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设备名称</w:t>
            </w:r>
          </w:p>
        </w:tc>
        <w:tc>
          <w:tcPr>
            <w:tcW w:w="6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设备信息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eastAsia="zh-CN"/>
              </w:rPr>
              <w:t>ONV-IPS3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3021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eastAsia="zh-CN"/>
              </w:rPr>
              <w:t>F</w:t>
            </w:r>
          </w:p>
        </w:tc>
        <w:tc>
          <w:tcPr>
            <w:tcW w:w="6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非管理1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eastAsia="zh-CN"/>
              </w:rPr>
              <w:t>个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10/100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/1000M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RJ45端口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+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 xml:space="preserve"> 1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eastAsia="zh-CN"/>
              </w:rPr>
              <w:t>个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1000M上联SFP光口插槽，工业以太网光纤交换机，支持双DC冗余电源输入，支持导轨式安装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hint="default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eastAsia="zh-CN"/>
              </w:rPr>
              <w:t>ONV-IPS3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3032F</w:t>
            </w:r>
          </w:p>
        </w:tc>
        <w:tc>
          <w:tcPr>
            <w:tcW w:w="6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非管理2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eastAsia="zh-CN"/>
              </w:rPr>
              <w:t>个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10/100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/1000M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RJ45端口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+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 xml:space="preserve"> 1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eastAsia="zh-CN"/>
              </w:rPr>
              <w:t>个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1000M上联SFP光口插槽，工业以太网光纤交换机，支持双DC冗余电源输入，支持导轨式安装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hint="default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eastAsia="zh-CN"/>
              </w:rPr>
              <w:t>ONV-IPS3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3042F</w:t>
            </w:r>
          </w:p>
        </w:tc>
        <w:tc>
          <w:tcPr>
            <w:tcW w:w="6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非管理2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eastAsia="zh-CN"/>
              </w:rPr>
              <w:t>个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10/100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/1000M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RJ45端口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+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 xml:space="preserve"> 2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eastAsia="zh-CN"/>
              </w:rPr>
              <w:t>个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1000M上联SFP光口插槽，工业以太网光纤交换机，支持双DC冗余电源输入，支持导轨式安装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ONV-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IPS33064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F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G</w:t>
            </w:r>
          </w:p>
        </w:tc>
        <w:tc>
          <w:tcPr>
            <w:tcW w:w="6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非管理5个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/1000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M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RJ45端口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1个1000M SFP光口插槽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工业以太网光纤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交换机，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支持双DC冗余电源输入，支持导轨式安装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ONV-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IPS33064F</w:t>
            </w:r>
          </w:p>
        </w:tc>
        <w:tc>
          <w:tcPr>
            <w:tcW w:w="6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非管理4个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/1000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M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RJ45端口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2个1000M SFP光口插槽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工业以太网光纤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交换机，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支持双DC冗余电源输入，导轨式安装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ONV-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IPS33108F</w:t>
            </w:r>
          </w:p>
        </w:tc>
        <w:tc>
          <w:tcPr>
            <w:tcW w:w="6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非管理8个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/1000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M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RJ45端口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2个1000M SFP光口插槽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工业以太网光纤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交换机，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支持双DC冗余电源输入，导轨式安装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ONV-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IPS33128F</w:t>
            </w:r>
          </w:p>
        </w:tc>
        <w:tc>
          <w:tcPr>
            <w:tcW w:w="6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非管理10个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/1000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M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RJ45端口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2个1000M SFP光口插槽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工业以太网光纤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交换机，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支持双DC冗余电源输入，导轨式安装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。</w:t>
            </w:r>
          </w:p>
        </w:tc>
      </w:tr>
    </w:tbl>
    <w:p>
      <w:pPr>
        <w:pStyle w:val="8"/>
        <w:spacing w:beforeLines="50" w:afterLines="50"/>
        <w:ind w:firstLine="0" w:firstLineChars="0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>
      <w:pPr>
        <w:pStyle w:val="8"/>
        <w:spacing w:beforeLines="50" w:afterLines="50"/>
        <w:ind w:firstLine="0" w:firstLineChars="0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>
      <w:pPr>
        <w:pStyle w:val="8"/>
        <w:spacing w:beforeLines="50" w:afterLines="50"/>
        <w:ind w:firstLine="0" w:firstLineChars="0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bookmarkStart w:id="2" w:name="_GoBack"/>
      <w:bookmarkEnd w:id="2"/>
    </w:p>
    <w:p>
      <w:pPr>
        <w:pStyle w:val="8"/>
        <w:spacing w:beforeLines="50" w:afterLines="50"/>
        <w:ind w:firstLine="0" w:firstLineChars="0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493395</wp:posOffset>
            </wp:positionV>
            <wp:extent cx="600075" cy="228600"/>
            <wp:effectExtent l="0" t="0" r="9525" b="0"/>
            <wp:wrapNone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联系我们</w:t>
      </w:r>
    </w:p>
    <w:p>
      <w:pPr>
        <w:pStyle w:val="8"/>
        <w:spacing w:beforeLines="50" w:afterLines="50"/>
        <w:ind w:firstLine="964" w:firstLineChars="300"/>
        <w:rPr>
          <w:rFonts w:ascii="宋体" w:hAnsi="宋体"/>
          <w:b/>
          <w:color w:val="548235" w:themeColor="accent6" w:themeShade="BF"/>
          <w:sz w:val="32"/>
          <w:szCs w:val="32"/>
        </w:rPr>
      </w:pPr>
      <w:r>
        <w:rPr>
          <w:rFonts w:hint="eastAsia" w:ascii="宋体" w:hAnsi="宋体"/>
          <w:b/>
          <w:color w:val="548235" w:themeColor="accent6" w:themeShade="BF"/>
          <w:sz w:val="32"/>
          <w:szCs w:val="32"/>
        </w:rPr>
        <w:drawing>
          <wp:anchor distT="0" distB="0" distL="0" distR="0" simplePos="0" relativeHeight="251683840" behindDoc="0" locked="0" layoutInCell="1" allowOverlap="0">
            <wp:simplePos x="0" y="0"/>
            <wp:positionH relativeFrom="column">
              <wp:posOffset>3900170</wp:posOffset>
            </wp:positionH>
            <wp:positionV relativeFrom="line">
              <wp:posOffset>379095</wp:posOffset>
            </wp:positionV>
            <wp:extent cx="1628775" cy="1762125"/>
            <wp:effectExtent l="0" t="0" r="9525" b="9525"/>
            <wp:wrapNone/>
            <wp:docPr id="9" name="图片 7" descr="200911711109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 descr="200911711109896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深圳市光网视科技有限公司</w:t>
      </w:r>
    </w:p>
    <w:p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电  话：0755-33376606</w:t>
      </w:r>
    </w:p>
    <w:p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传  真：0755-33376608</w:t>
      </w:r>
    </w:p>
    <w:p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邮  箱：onv@onv.com.cn</w:t>
      </w:r>
    </w:p>
    <w:p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网  址：http://www.onv.com.cn</w:t>
      </w:r>
    </w:p>
    <w:p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地  址：深圳市福田区车公庙泰然大厦D座1003</w:t>
      </w:r>
    </w:p>
    <w:p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工厂地址：深圳市龙华区大浪街道新石社区新围华宁路59号4层5层6层</w:t>
      </w:r>
    </w:p>
    <w:p>
      <w:pPr>
        <w:pStyle w:val="10"/>
        <w:rPr>
          <w:rFonts w:ascii="宋体" w:hAnsi="宋体" w:eastAsia="宋体"/>
          <w:sz w:val="18"/>
          <w:szCs w:val="18"/>
        </w:rPr>
      </w:pPr>
    </w:p>
    <w:p>
      <w:pPr>
        <w:pStyle w:val="10"/>
        <w:rPr>
          <w:rFonts w:ascii="宋体" w:hAnsi="宋体" w:eastAsia="宋体"/>
          <w:sz w:val="18"/>
          <w:szCs w:val="18"/>
        </w:rPr>
      </w:pPr>
    </w:p>
    <w:p>
      <w:pPr>
        <w:pStyle w:val="10"/>
        <w:rPr>
          <w:rFonts w:ascii="宋体" w:hAnsi="宋体" w:eastAsia="宋体"/>
          <w:sz w:val="18"/>
          <w:szCs w:val="18"/>
        </w:rPr>
      </w:pPr>
    </w:p>
    <w:p>
      <w:pPr>
        <w:pStyle w:val="10"/>
        <w:rPr>
          <w:rFonts w:ascii="宋体" w:hAnsi="宋体" w:eastAsia="宋体"/>
          <w:sz w:val="18"/>
          <w:szCs w:val="18"/>
        </w:rPr>
      </w:pPr>
    </w:p>
    <w:p>
      <w:pPr>
        <w:pStyle w:val="10"/>
        <w:rPr>
          <w:rFonts w:ascii="宋体" w:hAnsi="宋体" w:eastAsia="宋体"/>
          <w:sz w:val="18"/>
          <w:szCs w:val="18"/>
        </w:rPr>
      </w:pPr>
    </w:p>
    <w:p>
      <w:pPr>
        <w:pStyle w:val="10"/>
        <w:rPr>
          <w:rFonts w:ascii="宋体" w:hAnsi="宋体" w:eastAsia="宋体"/>
          <w:sz w:val="18"/>
          <w:szCs w:val="18"/>
        </w:rPr>
      </w:pPr>
    </w:p>
    <w:p>
      <w:pPr>
        <w:pStyle w:val="10"/>
        <w:wordWrap w:val="0"/>
        <w:jc w:val="right"/>
        <w:rPr>
          <w:rFonts w:hint="default" w:ascii="宋体" w:hAnsi="宋体" w:eastAsia="宋体"/>
          <w:sz w:val="15"/>
          <w:szCs w:val="15"/>
          <w:lang w:val="en-US" w:eastAsia="zh-CN"/>
        </w:rPr>
      </w:pPr>
      <w:r>
        <w:rPr>
          <w:rFonts w:hint="eastAsia" w:ascii="宋体" w:hAnsi="宋体" w:eastAsia="宋体"/>
          <w:sz w:val="15"/>
          <w:szCs w:val="15"/>
        </w:rPr>
        <w:t>关于文档</w:t>
      </w:r>
      <w:r>
        <w:rPr>
          <w:rFonts w:hint="eastAsia" w:ascii="宋体" w:hAnsi="宋体" w:eastAsia="宋体"/>
          <w:sz w:val="15"/>
          <w:szCs w:val="15"/>
          <w:lang w:val="en-US" w:eastAsia="zh-CN"/>
        </w:rPr>
        <w:t xml:space="preserve">  </w:t>
      </w:r>
    </w:p>
    <w:p>
      <w:pPr>
        <w:pStyle w:val="10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本文档中的商标、图片、标识均归深圳市光网视科技有限公司所有。</w:t>
      </w:r>
    </w:p>
    <w:p>
      <w:pPr>
        <w:keepNext w:val="0"/>
        <w:keepLines w:val="0"/>
        <w:widowControl/>
        <w:suppressLineNumbers w:val="0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未经深圳市光网视科技有限公司明确书面许可，任何单位或个人不得擅自仿制、复制、誊抄或转译本书或全部内容，</w:t>
      </w:r>
    </w:p>
    <w:p>
      <w:pPr>
        <w:pStyle w:val="10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不得以任何形式或任何方式（电子、机械、影印、录制或其他可能的方式）进行商品传播或用于任何商业、盈利目的。</w:t>
      </w:r>
    </w:p>
    <w:p>
      <w:pPr>
        <w:pStyle w:val="10"/>
        <w:jc w:val="right"/>
        <w:rPr>
          <w:rFonts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本文档可能含有预测信息，因此本文档信息仅供参考，不构成任何要约或承诺，本公司做出更正或修改恕不另行通知。</w:t>
      </w:r>
    </w:p>
    <w:p>
      <w:pPr>
        <w:pStyle w:val="10"/>
        <w:jc w:val="right"/>
      </w:pPr>
      <w:r>
        <w:rPr>
          <w:rFonts w:hint="eastAsia" w:ascii="宋体" w:hAnsi="宋体" w:eastAsia="宋体"/>
          <w:sz w:val="15"/>
          <w:szCs w:val="15"/>
        </w:rPr>
        <w:t>版权所有 © 深圳市光网视科技有限公司  保留一切权利</w:t>
      </w:r>
      <w:r>
        <w:rPr>
          <w:rFonts w:hint="eastAsia" w:ascii="宋体" w:hAnsi="宋体" w:eastAsia="宋体"/>
          <w:sz w:val="15"/>
          <w:szCs w:val="15"/>
          <w:lang w:val="en-US" w:eastAsia="zh-CN"/>
        </w:rPr>
        <w:t xml:space="preserve"> 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779072" behindDoc="0" locked="0" layoutInCell="1" allowOverlap="1">
              <wp:simplePos x="0" y="0"/>
              <wp:positionH relativeFrom="column">
                <wp:posOffset>4394835</wp:posOffset>
              </wp:positionH>
              <wp:positionV relativeFrom="paragraph">
                <wp:posOffset>-165100</wp:posOffset>
              </wp:positionV>
              <wp:extent cx="1543050" cy="3714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4966335" y="9890760"/>
                        <a:ext cx="1543050" cy="371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HYPERLINK "http://www.onv.com.cn" </w:instrTex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h</w:t>
                          </w:r>
                          <w:r>
                            <w:rPr>
                              <w:rStyle w:val="7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ttp://www.</w:t>
                          </w:r>
                          <w:r>
                            <w:rPr>
                              <w:rStyle w:val="7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onv.com</w:t>
                          </w:r>
                          <w:r>
                            <w:rPr>
                              <w:rStyle w:val="7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.cn</w: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  <w:p>
                          <w:pPr>
                            <w:rPr>
                              <w:rFonts w:hint="eastAsia" w:ascii="Arial" w:hAnsi="Arial" w:cs="Arial" w:eastAsiaTheme="minorEastAsia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+86 0755 33376606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46.05pt;margin-top:-13pt;height:29.25pt;width:121.5pt;z-index:251779072;mso-width-relative:page;mso-height-relative:page;" filled="f" stroked="f" coordsize="21600,21600" o:gfxdata="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aviTh2wAAAAoBAAAPAAAAAAAAAAEAIAAAACIAAABkcnMvZG93bnJldi54bWxQSwEC&#10;FAAUAAAACACHTuJAa4r/fyoCAAAkBAAADgAAAAAAAAABACAAAAAqAQAAZHJzL2Uyb0RvYy54bWxQ&#10;SwUGAAAAAAYABgBZAQAAxgUAAAAA&#10;">
              <v:fill on="f" focussize="0,0"/>
              <v:stroke on="f" weight="0.5pt"/>
              <v:imagedata o:title=""/>
              <o:lock v:ext="edit" aspectratio="f"/>
              <v:textbox>
                <w:txbxContent>
                  <w:p>
                    <w:pP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HYPERLINK "http://www.onv.com.cn" </w:instrTex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Style w:val="7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h</w:t>
                    </w:r>
                    <w:r>
                      <w:rPr>
                        <w:rStyle w:val="7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ttp://www.</w:t>
                    </w:r>
                    <w:r>
                      <w:rPr>
                        <w:rStyle w:val="7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onv.com</w:t>
                    </w:r>
                    <w:r>
                      <w:rPr>
                        <w:rStyle w:val="7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.cn</w: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</w:p>
                  <w:p>
                    <w:pPr>
                      <w:rPr>
                        <w:rFonts w:hint="eastAsia" w:ascii="Arial" w:hAnsi="Arial" w:cs="Arial" w:eastAsiaTheme="minorEastAsia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Arial" w:hAnsi="Arial" w:cs="Arial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+86 0755 33376606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778048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Page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of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9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77804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jc w:val="right"/>
                    </w:pP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Page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1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of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NUMPAGES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9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</w:t>
    </w:r>
    <w:r>
      <w:rPr>
        <w:rFonts w:hint="eastAsia"/>
      </w:rPr>
      <w:drawing>
        <wp:anchor distT="0" distB="0" distL="114300" distR="114300" simplePos="0" relativeHeight="251777024" behindDoc="0" locked="0" layoutInCell="1" allowOverlap="1">
          <wp:simplePos x="0" y="0"/>
          <wp:positionH relativeFrom="column">
            <wp:posOffset>5124450</wp:posOffset>
          </wp:positionH>
          <wp:positionV relativeFrom="paragraph">
            <wp:posOffset>-353060</wp:posOffset>
          </wp:positionV>
          <wp:extent cx="1047750" cy="400050"/>
          <wp:effectExtent l="0" t="0" r="0" b="0"/>
          <wp:wrapNone/>
          <wp:docPr id="2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775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mc:AlternateContent>
        <mc:Choice Requires="wpg">
          <w:drawing>
            <wp:anchor distT="0" distB="0" distL="114300" distR="114300" simplePos="0" relativeHeight="251746304" behindDoc="0" locked="0" layoutInCell="1" allowOverlap="1">
              <wp:simplePos x="0" y="0"/>
              <wp:positionH relativeFrom="column">
                <wp:posOffset>-1148080</wp:posOffset>
              </wp:positionH>
              <wp:positionV relativeFrom="paragraph">
                <wp:posOffset>-549275</wp:posOffset>
              </wp:positionV>
              <wp:extent cx="410210" cy="12402185"/>
              <wp:effectExtent l="5080" t="4445" r="22860" b="13970"/>
              <wp:wrapNone/>
              <wp:docPr id="5" name="组合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0210" cy="12402185"/>
                        <a:chOff x="-76" y="-646"/>
                        <a:chExt cx="646" cy="19531"/>
                      </a:xfrm>
                    </wpg:grpSpPr>
                    <wps:wsp>
                      <wps:cNvPr id="7" name="矩形 7"/>
                      <wps:cNvSpPr/>
                      <wps:spPr>
                        <a:xfrm>
                          <a:off x="-75" y="-646"/>
                          <a:ext cx="645" cy="5956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 w="9525" cap="flat" cmpd="sng">
                          <a:solidFill>
                            <a:srgbClr val="FF99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  <wps:wsp>
                      <wps:cNvPr id="8" name="矩形 8"/>
                      <wps:cNvSpPr/>
                      <wps:spPr>
                        <a:xfrm>
                          <a:off x="-76" y="4740"/>
                          <a:ext cx="646" cy="14145"/>
                        </a:xfrm>
                        <a:prstGeom prst="rect">
                          <a:avLst/>
                        </a:prstGeom>
                        <a:solidFill>
                          <a:srgbClr val="000099"/>
                        </a:solidFill>
                        <a:ln w="9525" cap="flat" cmpd="sng">
                          <a:solidFill>
                            <a:srgbClr val="000099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-90.4pt;margin-top:-43.25pt;height:976.55pt;width:32.3pt;z-index:251746304;mso-width-relative:page;mso-height-relative:page;" coordorigin="-76,-646" coordsize="646,19531" o:gfxdata="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M1QGpnc&#10;AAAADgEAAA8AAAAAAAAAAQAgAAAAIgAAAGRycy9kb3ducmV2LnhtbFBLAQIUABQAAAAIAIdO4kAa&#10;1UWsjgIAAD8HAAAOAAAAAAAAAAEAIAAAACsBAABkcnMvZTJvRG9jLnhtbFBLBQYAAAAABgAGAFkB&#10;AAArBgAAAAA=&#10;">
              <o:lock v:ext="edit" aspectratio="f"/>
              <v:rect id="_x0000_s1026" o:spid="_x0000_s1026" o:spt="1" style="position:absolute;left:-75;top:-646;height:5956;width:645;" fillcolor="#FF9900" filled="t" stroked="t" coordsize="21600,21600" o:gfxdata="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trPKq8AAAA&#10;2gAAAA8AAAAAAAAAAQAgAAAAIgAAAGRycy9kb3ducmV2LnhtbFBLAQIUABQAAAAIAIdO4kAzLwWe&#10;OwAAADkAAAAQAAAAAAAAAAEAIAAAAAsBAABkcnMvc2hhcGV4bWwueG1sUEsFBgAAAAAGAAYAWwEA&#10;ALUDAAAAAA==&#10;">
                <v:fill on="t" focussize="0,0"/>
                <v:stroke color="#FF9900" joinstyle="miter"/>
                <v:imagedata o:title=""/>
                <o:lock v:ext="edit" aspectratio="f"/>
              </v:rect>
              <v:rect id="_x0000_s1026" o:spid="_x0000_s1026" o:spt="1" style="position:absolute;left:-76;top:4740;height:14145;width:646;" fillcolor="#000099" filled="t" stroked="t" coordsize="21600,21600" o:gfxdata="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sKCyVugAAANoA&#10;AAAPAAAAAAAAAAEAIAAAACIAAABkcnMvZG93bnJldi54bWxQSwECFAAUAAAACACHTuJAMy8FnjsA&#10;AAA5AAAAEAAAAAAAAAABACAAAAAJAQAAZHJzL3NoYXBleG1sLnhtbFBLBQYAAAAABgAGAFsBAACz&#10;AwAAAAA=&#10;">
                <v:fill on="t" focussize="0,0"/>
                <v:stroke color="#000099" joinstyle="miter"/>
                <v:imagedata o:title=""/>
                <o:lock v:ext="edit" aspectratio="f"/>
              </v:rect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D48A4"/>
    <w:multiLevelType w:val="multilevel"/>
    <w:tmpl w:val="056D48A4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  <w:color w:val="0070C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C33CF8"/>
    <w:rsid w:val="0A1752D2"/>
    <w:rsid w:val="0C705FF1"/>
    <w:rsid w:val="0C806737"/>
    <w:rsid w:val="1400390D"/>
    <w:rsid w:val="14D94BDA"/>
    <w:rsid w:val="15B45CD7"/>
    <w:rsid w:val="17E37516"/>
    <w:rsid w:val="185A75A0"/>
    <w:rsid w:val="28840A04"/>
    <w:rsid w:val="2CE660DE"/>
    <w:rsid w:val="2DE419CA"/>
    <w:rsid w:val="2FAE4661"/>
    <w:rsid w:val="32B91501"/>
    <w:rsid w:val="349341FC"/>
    <w:rsid w:val="35975366"/>
    <w:rsid w:val="372A6758"/>
    <w:rsid w:val="39BD2BE6"/>
    <w:rsid w:val="3AA60F19"/>
    <w:rsid w:val="3C9A44B8"/>
    <w:rsid w:val="42DF75EE"/>
    <w:rsid w:val="43D70A5B"/>
    <w:rsid w:val="459970AA"/>
    <w:rsid w:val="4D6F5140"/>
    <w:rsid w:val="5140418E"/>
    <w:rsid w:val="515930D6"/>
    <w:rsid w:val="51952D06"/>
    <w:rsid w:val="557F31A6"/>
    <w:rsid w:val="57C33CF8"/>
    <w:rsid w:val="5DAC1636"/>
    <w:rsid w:val="5F425CD0"/>
    <w:rsid w:val="60AF1191"/>
    <w:rsid w:val="63C92164"/>
    <w:rsid w:val="66913A2A"/>
    <w:rsid w:val="680771BD"/>
    <w:rsid w:val="684F70A3"/>
    <w:rsid w:val="69EA277C"/>
    <w:rsid w:val="6BEC7876"/>
    <w:rsid w:val="72272180"/>
    <w:rsid w:val="74E50A34"/>
    <w:rsid w:val="78631A81"/>
    <w:rsid w:val="792D3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0">
    <w:name w:val="Cover 3"/>
    <w:basedOn w:val="1"/>
    <w:qFormat/>
    <w:uiPriority w:val="0"/>
    <w:pPr>
      <w:adjustRightInd w:val="0"/>
      <w:snapToGrid w:val="0"/>
      <w:spacing w:before="80" w:after="80" w:line="240" w:lineRule="atLeast"/>
      <w:jc w:val="left"/>
    </w:pPr>
    <w:rPr>
      <w:rFonts w:ascii="Arial" w:hAnsi="Arial" w:eastAsia="黑体" w:cs="Arial"/>
      <w:b/>
      <w:bCs/>
      <w:spacing w:val="-4"/>
      <w:sz w:val="22"/>
    </w:rPr>
  </w:style>
  <w:style w:type="paragraph" w:customStyle="1" w:styleId="11">
    <w:name w:val="Table Text"/>
    <w:qFormat/>
    <w:uiPriority w:val="0"/>
    <w:pPr>
      <w:snapToGrid w:val="0"/>
      <w:spacing w:before="80" w:after="80"/>
    </w:pPr>
    <w:rPr>
      <w:rFonts w:ascii="Arial" w:hAnsi="Arial" w:eastAsia="宋体" w:cs="Times New Roman"/>
      <w:sz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vertOverflow="overflow" horzOverflow="overflow" vert="horz" wrap="square" lIns="91440" tIns="45720" rIns="91440" bIns="45720" numCol="1" spcCol="0" rtlCol="0" fromWordArt="0" anchor="t" anchorCtr="0" forceAA="0" compatLnSpc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2018-11-09T01:43:00Z</dcterms:created>
  <dc:creator>ONV-招权富（6616）</dc:creator>
  <cp:lastModifiedBy>Lenovo</cp:lastModifiedBy>
  <dcterms:modified xsi:type="dcterms:W3CDTF">2020-02-21T03:22:18Z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