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12口全万兆网管工业以太网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1489075</wp:posOffset>
            </wp:positionH>
            <wp:positionV relativeFrom="paragraph">
              <wp:posOffset>206375</wp:posOffset>
            </wp:positionV>
            <wp:extent cx="2188845" cy="3227070"/>
            <wp:effectExtent l="0" t="0" r="0" b="0"/>
            <wp:wrapNone/>
            <wp:docPr id="74" name="图片 73" descr="IPS56012FM-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3" descr="IPS56012FM-小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8845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IPS56012FM</w:t>
      </w:r>
    </w:p>
    <w:p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>
      <w:pPr>
        <w:pStyle w:val="8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IPS56012FM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全万兆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工业以太网光纤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支持12个1/10G 万兆SFP+光口插槽。所有端口支持线速转发。</w:t>
      </w:r>
    </w:p>
    <w:p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IPS56012FM具备L2+网管功能，支持IPV4/IPV6管理，支持静态路由转发，支持完备的安全防护机制、完善的ACL/QoS策略和丰富的VLAN功能，易于管理维护。</w:t>
      </w:r>
      <w:r>
        <w:rPr>
          <w:rFonts w:hint="eastAsia" w:ascii="微软雅黑" w:hAnsi="微软雅黑" w:eastAsia="微软雅黑" w:cs="微软雅黑"/>
          <w:lang w:val="en-US" w:eastAsia="zh-CN"/>
        </w:rPr>
        <w:t>支持多种网络冗余协议STP/RSTP/MSTP(&lt;50ms)以及（ITU-T G.8032）ERPS(&lt;20ms)提升链路备份和网路可靠性，当单向网络故障时，可以迅速恢复通信，保证重要应用的不间断通讯。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根据实际应用需要，通过Web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CLI、SNMP、Telnet等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网管方式，进行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端口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路由地址管理，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端口流量控制，VLAN划分，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IGMP、安全策略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等多种应用业务配置。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ONV-IPS56012FM</w:t>
      </w:r>
      <w:r>
        <w:rPr>
          <w:rFonts w:hint="eastAsia" w:ascii="微软雅黑" w:hAnsi="微软雅黑" w:eastAsia="微软雅黑" w:cs="Times New Roman"/>
          <w:color w:val="000000"/>
          <w:sz w:val="20"/>
          <w:szCs w:val="20"/>
          <w:shd w:val="clear" w:color="auto" w:fill="FFFFFF"/>
          <w:lang w:val="en-US" w:eastAsia="zh-CN"/>
        </w:rPr>
        <w:t>工业级系列产品，完全遵循工业产品设计与用料，外壳采用铝合金增强散热效能，具备极佳的工业现场环境适应性（包含机械稳定性、气候环境适应性、电磁环境适应性等）、防护等级达到IP40、支持双冗余供电、低功耗无风扇散热技术、MTBF 平均无故障工作时间可达35 年、超长5 年质保。</w:t>
      </w:r>
      <w:r>
        <w:rPr>
          <w:rFonts w:hint="eastAsia" w:ascii="微软雅黑" w:hAnsi="微软雅黑" w:eastAsia="微软雅黑" w:cs="微软雅黑"/>
        </w:rPr>
        <w:t>适合</w:t>
      </w:r>
      <w:r>
        <w:rPr>
          <w:rFonts w:hint="eastAsia" w:ascii="微软雅黑" w:hAnsi="微软雅黑" w:eastAsia="微软雅黑" w:cs="微软雅黑"/>
          <w:lang w:val="en-US" w:eastAsia="zh-CN"/>
        </w:rPr>
        <w:t>智能交通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轨道交通、电力行业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 w:cs="微软雅黑"/>
        </w:rPr>
        <w:t>组建经济高效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稳定、可靠</w:t>
      </w:r>
      <w:r>
        <w:rPr>
          <w:rFonts w:hint="eastAsia" w:ascii="微软雅黑" w:hAnsi="微软雅黑" w:eastAsia="微软雅黑" w:cs="微软雅黑"/>
        </w:rPr>
        <w:t>的</w:t>
      </w:r>
      <w:r>
        <w:rPr>
          <w:rFonts w:hint="eastAsia" w:ascii="微软雅黑" w:hAnsi="微软雅黑" w:eastAsia="微软雅黑" w:cs="微软雅黑"/>
          <w:lang w:val="en-US" w:eastAsia="zh-CN"/>
        </w:rPr>
        <w:t>通信</w:t>
      </w:r>
      <w:r>
        <w:rPr>
          <w:rFonts w:hint="eastAsia" w:ascii="微软雅黑" w:hAnsi="微软雅黑" w:eastAsia="微软雅黑" w:cs="微软雅黑"/>
        </w:rPr>
        <w:t>网络。</w:t>
      </w:r>
    </w:p>
    <w:p>
      <w:pPr>
        <w:pStyle w:val="8"/>
        <w:spacing w:before="100" w:beforeAutospacing="1" w:after="100" w:afterAutospacing="1" w:line="400" w:lineRule="exact"/>
        <w:ind w:firstLine="502" w:firstLineChars="250"/>
        <w:rPr>
          <w:rFonts w:ascii="宋体" w:hAnsi="宋体"/>
          <w:b/>
          <w:color w:val="0070C0"/>
          <w:sz w:val="20"/>
          <w:szCs w:val="20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全万兆光口汇聚/接入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</w:t>
      </w:r>
      <w:r>
        <w:rPr>
          <w:rFonts w:hint="eastAsia" w:ascii="宋体" w:hAnsi="宋体"/>
          <w:szCs w:val="21"/>
          <w:lang w:val="en-US" w:eastAsia="zh-CN"/>
        </w:rPr>
        <w:t>全万兆</w:t>
      </w:r>
      <w:r>
        <w:rPr>
          <w:rFonts w:hint="eastAsia" w:ascii="宋体" w:hAnsi="宋体"/>
          <w:szCs w:val="21"/>
        </w:rPr>
        <w:t>光口，</w:t>
      </w:r>
      <w:r>
        <w:rPr>
          <w:rFonts w:hint="eastAsia" w:ascii="宋体" w:hAnsi="宋体"/>
          <w:szCs w:val="21"/>
          <w:lang w:val="en-US" w:eastAsia="zh-CN"/>
        </w:rPr>
        <w:t>适用于大数据量的汇聚与核心交换，</w:t>
      </w:r>
      <w:r>
        <w:rPr>
          <w:rFonts w:hint="eastAsia" w:ascii="宋体" w:hAnsi="宋体"/>
          <w:szCs w:val="21"/>
        </w:rPr>
        <w:t>方便用户灵活组网，满足各种场景组网需求；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>
      <w:pPr>
        <w:spacing w:line="400" w:lineRule="atLeast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强大业务处理能力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802.1Q VLAN，用户可以按需求灵活划分VLAN，</w:t>
      </w:r>
      <w:r>
        <w:rPr>
          <w:rFonts w:hint="eastAsia" w:ascii="宋体" w:hAnsi="宋体"/>
          <w:szCs w:val="21"/>
          <w:lang w:val="en-US" w:eastAsia="zh-CN"/>
        </w:rPr>
        <w:t>支持Voice VLAN,</w:t>
      </w:r>
      <w:r>
        <w:rPr>
          <w:rFonts w:hint="eastAsia" w:ascii="宋体" w:hAnsi="宋体"/>
          <w:szCs w:val="21"/>
        </w:rPr>
        <w:t>支持QinQ配置。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支持QoS，支持基于端口、基于802.1P和基于DSCP的三种优先级模式和Equ、SP、WRR、SP+WRR四种队列调度算法。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支持ACL，通过配置匹配规则、处理操作以及时间权限来实现对数据包的过滤，提供灵活的安全访问控制策略。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支持IGMP V1/V2</w:t>
      </w:r>
      <w:r>
        <w:rPr>
          <w:rFonts w:hint="eastAsia" w:ascii="宋体" w:hAnsi="宋体"/>
          <w:szCs w:val="21"/>
          <w:lang w:val="en-US" w:eastAsia="zh-CN"/>
        </w:rPr>
        <w:t>/V3</w:t>
      </w:r>
      <w:r>
        <w:rPr>
          <w:rFonts w:hint="eastAsia" w:ascii="宋体" w:hAnsi="宋体"/>
          <w:szCs w:val="21"/>
        </w:rPr>
        <w:t>组播协议，支持IGMP Snooping，满足多终端高清视频监控和视频会议接入需求。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</w:t>
      </w:r>
      <w:r>
        <w:rPr>
          <w:rFonts w:hint="eastAsia" w:ascii="宋体" w:hAnsi="宋体"/>
          <w:szCs w:val="21"/>
          <w:lang w:val="en-US" w:eastAsia="zh-CN"/>
        </w:rPr>
        <w:t>工业快速环网ERPS和</w:t>
      </w:r>
      <w:r>
        <w:rPr>
          <w:rFonts w:hint="eastAsia" w:ascii="宋体" w:hAnsi="宋体"/>
          <w:szCs w:val="21"/>
        </w:rPr>
        <w:t>STP/RSTP/MSTP生产树协议，消除二层环路、实现链路备份。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支持静态汇聚和动态汇聚，有效增加链路带宽，实现负载均衡、链路备份，提高链路可靠性。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完备的安全防护机制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支持802.1X认证，为局域网计算机提供认证功能，并根据认证结果对受控端口的授权状态进行控制。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支持端口隔离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支持端口广播风暴抑制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支持端口+MAC绑定，IP+MAC+端口绑定功能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400" w:lineRule="atLeast"/>
        <w:ind w:leftChars="0"/>
        <w:rPr>
          <w:rFonts w:ascii="宋体" w:hAnsi="宋体"/>
          <w:szCs w:val="21"/>
        </w:rPr>
      </w:pPr>
    </w:p>
    <w:p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>
      <w:pPr>
        <w:spacing w:line="360" w:lineRule="auto"/>
        <w:rPr>
          <w:rFonts w:ascii="宋体" w:hAnsi="宋体"/>
          <w:szCs w:val="21"/>
        </w:rPr>
      </w:pPr>
      <w:bookmarkStart w:id="0" w:name="OLE_LINK2"/>
      <w:bookmarkStart w:id="1" w:name="OLE_LINK1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主机低功耗、风扇</w:t>
      </w:r>
      <w:r>
        <w:rPr>
          <w:rFonts w:hint="eastAsia" w:ascii="宋体" w:hAnsi="宋体"/>
          <w:szCs w:val="21"/>
          <w:lang w:val="en-US" w:eastAsia="zh-CN"/>
        </w:rPr>
        <w:t>主动散热</w:t>
      </w:r>
      <w:r>
        <w:rPr>
          <w:rFonts w:hint="eastAsia" w:ascii="宋体" w:hAnsi="宋体"/>
          <w:szCs w:val="21"/>
        </w:rPr>
        <w:t>设计，</w:t>
      </w:r>
      <w:r>
        <w:rPr>
          <w:rFonts w:hint="eastAsia" w:ascii="宋体" w:hAnsi="宋体"/>
          <w:szCs w:val="21"/>
          <w:lang w:val="en-US" w:eastAsia="zh-CN"/>
        </w:rPr>
        <w:t>镀锌钢材</w:t>
      </w:r>
      <w:r>
        <w:rPr>
          <w:rFonts w:hint="eastAsia" w:ascii="宋体" w:hAnsi="宋体"/>
          <w:szCs w:val="21"/>
        </w:rPr>
        <w:t>金属外壳，</w:t>
      </w:r>
      <w:r>
        <w:rPr>
          <w:rFonts w:hint="eastAsia" w:ascii="宋体" w:hAnsi="宋体"/>
          <w:szCs w:val="21"/>
          <w:lang w:val="en-US" w:eastAsia="zh-CN"/>
        </w:rPr>
        <w:t>散热优良，</w:t>
      </w:r>
      <w:r>
        <w:rPr>
          <w:rFonts w:hint="eastAsia" w:ascii="宋体" w:hAnsi="宋体"/>
          <w:szCs w:val="21"/>
        </w:rPr>
        <w:t>保证产品稳定运行。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采用ONV自主研发的电源，高冗余设计，提供长久</w:t>
      </w:r>
      <w:r>
        <w:rPr>
          <w:rFonts w:hint="eastAsia" w:ascii="宋体" w:hAnsi="宋体"/>
          <w:szCs w:val="21"/>
          <w:lang w:val="en-US" w:eastAsia="zh-CN"/>
        </w:rPr>
        <w:t>稳定</w:t>
      </w:r>
      <w:r>
        <w:rPr>
          <w:rFonts w:hint="eastAsia" w:ascii="宋体" w:hAnsi="宋体"/>
          <w:szCs w:val="21"/>
        </w:rPr>
        <w:t>电力输出。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设备满足国家CCC标准，完全符合CE、FCC、RoHS安规要求，使用安全可靠。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</w:t>
      </w:r>
      <w:r>
        <w:rPr>
          <w:rFonts w:hint="eastAsia" w:ascii="宋体" w:hAnsi="宋体"/>
          <w:szCs w:val="21"/>
          <w:lang w:val="en-US" w:eastAsia="zh-CN"/>
        </w:rPr>
        <w:t>系统运行指示灯（SYS）、</w:t>
      </w:r>
      <w:r>
        <w:rPr>
          <w:rFonts w:hint="eastAsia" w:ascii="宋体" w:hAnsi="宋体"/>
          <w:szCs w:val="21"/>
        </w:rPr>
        <w:t>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）、工作指示灯轻松了解设备工作状态。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  <w:lang w:val="en-US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轻松的运维管理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◇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支持Web网管、CLI命令行（Console，Telnet）、SNMP（V1/V2/V3）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、Telnet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等多样化的管理和维护方式。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支持HTTPS、SSLV3、SSHV1/V2等加密方式，管理更安全。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支持RMON、系统日志、端口流量统计，便于网络优化和改造。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支持LLDP，方便网络管理系统查询及判断链路的通信状况。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支持CPU监控、内存监控、Ping检测、线缆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长度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检测。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W w:w="8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92" w:type="dxa"/>
            <w:shd w:val="clear" w:color="auto" w:fill="1E4D78" w:themeFill="accent1" w:themeFillShade="7F"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ONV-IPS56012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FM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10G SFP+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万兆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1个Console控制口(115200,N,8,1)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2组DC12-48V 直流输入接口（支持反接保护功能）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1路掉电告警开关量接口（FAULT）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18"/>
                <w:szCs w:val="18"/>
                <w:lang w:val="en-US" w:eastAsia="zh-CN"/>
              </w:rPr>
              <w:t>千兆/万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兆SFP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光口扩展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支Turbo超频2.5G光模块扩展及组环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1G）；</w:t>
            </w:r>
          </w:p>
          <w:p>
            <w:pPr>
              <w:pStyle w:val="9"/>
              <w:ind w:firstLine="900" w:firstLineChars="50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10G)；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IEEE802.3ae 10GBase-SR/LR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368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178.56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CPU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双核1GHz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DRAM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FLASH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256Mb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系统指示灯：SYS（绿色）；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键还原开关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有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（长按开关10秒后松开，即可恢复出厂设置）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工作</w:t>
            </w: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电压</w:t>
            </w:r>
          </w:p>
        </w:tc>
        <w:tc>
          <w:tcPr>
            <w:tcW w:w="6692" w:type="dxa"/>
            <w:shd w:val="clear" w:color="000000" w:fill="FFFFFF"/>
            <w:vAlign w:val="top"/>
          </w:tcPr>
          <w:p>
            <w:pPr>
              <w:rPr>
                <w:rFonts w:hint="default" w:hAnsi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  <w:t>直流DC12-48V超宽供电电压，工规6P凤凰端子连接，支持防反接保护,支持掉电告警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92" w:type="dxa"/>
            <w:shd w:val="clear" w:color="000000" w:fill="FFFFFF"/>
            <w:vAlign w:val="top"/>
          </w:tcPr>
          <w:p>
            <w:pP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pStyle w:val="9"/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无，可选购工业电源24V/24W，见配件信息表选购使用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5°C；5%～90%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-40～+80°C；5%～95%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9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166*150*75mm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桌面式、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35mm DIN卡轨式安装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>
            <w:pPr>
              <w:pStyle w:val="11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网管</w:t>
            </w:r>
            <w:r>
              <w:rPr>
                <w:rFonts w:hint="eastAsia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业务特性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端口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支持IEEE802.3x流控（全双工）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支持基于端口速率的广播风暴抑制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支持对出入端口的报文流量进行限速，粒度最小为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Kbps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最大为1Gbps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支持端口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实时流量管理（Flow Interval)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支持端口EEE绿色以太网节能配置及状态查看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支持巨型帧配置，最大的支持12000byte巨型帧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支持端口异常保护机制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支持光口SFP模块DDMI实时数字诊断功能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三层功能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支持L2+网管功能，支持IPv4/IPv6静态路由、各支持128条目，支持双栈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 xml:space="preserve">支持RIPv1/v2，RIPng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支持OSPFv1/v2，OSPFv3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支持ARP协议，最大条目1024个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VLAN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支持基于端口的VLAN（4K个）,IEEE802.1q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支持基于协议的VLAN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MAC地址</w:t>
            </w: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的VLAN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支持Voice VLAN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支持Access、Trunk、Hybrid三种类型端口配置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支持QinQ 配置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支持GVRP VLAN协议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支持LACP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支持静态聚合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支持最大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个聚合组，每个聚合组最大支持8个端口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生成树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支持STP（IEEE802.1d）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支持RSTP（IEEE802.1w）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支持MSTP（IEEE802.1s）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STP BPDU Guard、BPDU过滤和BPDU转发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ERPS环网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支持ERPS环网，环网自愈时间小于20ms， ITU-T G.8032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组播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支持IGMP Snooping v1/v2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/v3</w:t>
            </w: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、最多支持1024个组播组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支持用户快速离开机制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支持组播VLAN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支持IGMP Snooping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支持MLD Snooping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lang w:val="en-US" w:eastAsia="zh-CN"/>
              </w:rPr>
              <w:t>支持MVR（</w:t>
            </w: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组播局域网注册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镜像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支持基本端口的双向流量镜像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支持基本端口的双向流量镜像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支持1对多镜像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最多支持4个端口会话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QoS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 xml:space="preserve">支持Diff-Serv QoS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每个端口支持8个输出队列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支持802.1p/DSCP优先级映射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支持队列调度机制（SP、WRR、SP+WRR）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支持优先级标记Mark/Remark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支持基于流的包过滤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支持基于流的重定向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支持基于流的限速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ACL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支持L2～L4包过滤功能，可以匹配报文前80个字节，提供基于源MAC地址、目的MAC地址、源IP地址、目的IP地址、IP协议类型、TCP/UDP端口、 TCP/UDP端口范围、VLAN等定义ACL。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支持基于端口、VLAN下发ACL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支持用户分级管理和口令保护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基于端口的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IEEE802.1X认证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支持AAA&amp;RADIUS认证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支持MAC地址学习数目限制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支持MAC地址黑洞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支持SSH 2.0，为用户登陆提供安全加密通道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支持SSL，保障数据传输安全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支持端口隔离 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支持ARP报文限速功能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支持IP源地址保护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支持ARP入侵检测功能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支持防DoS攻击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支持端口广播报文抑制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支持主机数据备份机制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IP+MAC+VLAN+端口的四元绑定功能 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支持IP Source Guard功能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DHCP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支持DHCP Serve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支持DHCP Client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支持DHCP Snooping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支持Console/AUX Modem/Telnet/ CLI命令行配置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支持WEB网管（支持HTTPS）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支持FTP、TFTP、Xmodem、SFTP文件上下载管理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 xml:space="preserve">支持SNMP V1/V2C/V3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支持一键还原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支持NTP时钟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支持系统工作日志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支持Ping检测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</w:rPr>
              <w:t>支持线缆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状态检查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支持CPU即时利用率状态查看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支持链路层发现协议LLDP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支持光网视的ONV NMS平台化集群式管理（LLDP+SNMP）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系统要求</w:t>
            </w:r>
          </w:p>
        </w:tc>
        <w:tc>
          <w:tcPr>
            <w:tcW w:w="6692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Web浏览器：谷歌浏览器chrome V42或更高版本，Mozilla火狐2.5或更高版本，微软Internet Explorer10或更高版本;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5类及以上以太网电缆;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12口全万兆网管工业以太网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RJ45-DB9适配转换线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2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4574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4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IPS56012FM</w:t>
            </w:r>
          </w:p>
        </w:tc>
        <w:tc>
          <w:tcPr>
            <w:tcW w:w="4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12个1/10G SFP+万兆光口插槽，工业以太网光纤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支持双DC冗余电源输入(凤凰端子连接)，支持导轨式安装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  <w:bookmarkStart w:id="2" w:name="_GoBack"/>
            <w:bookmarkEnd w:id="2"/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24W/36W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</w:tbl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>
      <w:pP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21"/>
          <w:szCs w:val="21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21"/>
          <w:szCs w:val="21"/>
          <w14:textFill>
            <w14:solidFill>
              <w14:schemeClr w14:val="accent2"/>
            </w14:solidFill>
          </w14:textFill>
        </w:rPr>
      </w:pPr>
    </w:p>
    <w:p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tbl>
      <w:tblPr>
        <w:tblStyle w:val="5"/>
        <w:tblW w:w="8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1740"/>
        <w:gridCol w:w="405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shd w:val="clear" w:color="auto" w:fill="DEEBF6" w:themeFill="accent1" w:themeFillTint="32"/>
            <w:vAlign w:val="top"/>
          </w:tcPr>
          <w:p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740" w:type="dxa"/>
            <w:shd w:val="clear" w:color="auto" w:fill="DEEBF6" w:themeFill="accent1" w:themeFillTint="32"/>
            <w:vAlign w:val="top"/>
          </w:tcPr>
          <w:p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4050" w:type="dxa"/>
            <w:shd w:val="clear" w:color="auto" w:fill="DEEBF6" w:themeFill="accent1" w:themeFillTint="32"/>
            <w:vAlign w:val="top"/>
          </w:tcPr>
          <w:p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20" w:type="dxa"/>
            <w:shd w:val="clear" w:color="auto" w:fill="DEEBF6" w:themeFill="accent1" w:themeFillTint="32"/>
            <w:vAlign w:val="top"/>
          </w:tcPr>
          <w:p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shd w:val="clear" w:color="auto" w:fill="DEEBF6" w:themeFill="accent1" w:themeFillTint="3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24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74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24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24</w:t>
            </w:r>
          </w:p>
        </w:tc>
        <w:tc>
          <w:tcPr>
            <w:tcW w:w="4050" w:type="dxa"/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；</w:t>
            </w:r>
          </w:p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0.35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A</w:t>
            </w:r>
          </w:p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 xml:space="preserve">额定输出电压：DC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 xml:space="preserve">V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1.0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A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1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shd w:val="clear" w:color="auto" w:fill="DEEBF6" w:themeFill="accent1" w:themeFillTint="32"/>
            <w:vAlign w:val="center"/>
          </w:tcPr>
          <w:p>
            <w:pPr>
              <w:pStyle w:val="8"/>
              <w:spacing w:beforeLines="50" w:afterLines="50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工业36W导轨电源</w:t>
            </w:r>
          </w:p>
        </w:tc>
        <w:tc>
          <w:tcPr>
            <w:tcW w:w="1740" w:type="dxa"/>
            <w:vAlign w:val="center"/>
          </w:tcPr>
          <w:p>
            <w:pPr>
              <w:pStyle w:val="8"/>
              <w:spacing w:beforeLines="50" w:afterLines="50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2"/>
                <w:lang w:val="en-US" w:eastAsia="zh-CN" w:bidi="ar-SA"/>
              </w:rPr>
              <w:t>GWS-DP36-24</w:t>
            </w:r>
          </w:p>
        </w:tc>
        <w:tc>
          <w:tcPr>
            <w:tcW w:w="405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导轨型 36W单组输出工业电源；</w:t>
            </w:r>
          </w:p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0.56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A</w:t>
            </w:r>
          </w:p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 xml:space="preserve">额定输出电压：DC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 xml:space="preserve">V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1.5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A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720" w:type="dxa"/>
            <w:vAlign w:val="center"/>
          </w:tcPr>
          <w:p>
            <w:pPr>
              <w:pStyle w:val="8"/>
              <w:spacing w:beforeLines="50" w:afterLines="50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只</w:t>
            </w:r>
          </w:p>
        </w:tc>
      </w:tr>
    </w:tbl>
    <w:p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3771900</wp:posOffset>
            </wp:positionH>
            <wp:positionV relativeFrom="line">
              <wp:posOffset>348615</wp:posOffset>
            </wp:positionV>
            <wp:extent cx="1628775" cy="1762125"/>
            <wp:effectExtent l="0" t="0" r="1905" b="571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474980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>
      <w:pPr>
        <w:pStyle w:val="8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工厂地址：深圳市龙华区大浪街道新石社区华宁路</w:t>
      </w:r>
      <w:r>
        <w:rPr>
          <w:rFonts w:hint="eastAsia" w:ascii="宋体" w:hAnsi="宋体"/>
          <w:color w:val="404040" w:themeColor="text1" w:themeTint="BF"/>
          <w:sz w:val="1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111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号</w:t>
      </w:r>
      <w:r>
        <w:rPr>
          <w:rFonts w:hint="eastAsia" w:ascii="宋体" w:hAnsi="宋体"/>
          <w:color w:val="404040" w:themeColor="text1" w:themeTint="BF"/>
          <w:sz w:val="1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森裕泰工业园A栋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</w:t>
      </w:r>
      <w:r>
        <w:rPr>
          <w:rFonts w:hint="eastAsia" w:ascii="宋体" w:hAnsi="宋体"/>
          <w:color w:val="404040" w:themeColor="text1" w:themeTint="BF"/>
          <w:sz w:val="1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层5层6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层</w:t>
      </w: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>
      <w:pPr>
        <w:pStyle w:val="10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2336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6322330"/>
    <w:rsid w:val="0B2328F5"/>
    <w:rsid w:val="0C2014DA"/>
    <w:rsid w:val="0D222C31"/>
    <w:rsid w:val="135E0DF8"/>
    <w:rsid w:val="185A75A0"/>
    <w:rsid w:val="189756C6"/>
    <w:rsid w:val="18E90EEB"/>
    <w:rsid w:val="1C500BBA"/>
    <w:rsid w:val="1EEE63D2"/>
    <w:rsid w:val="1F8B03EA"/>
    <w:rsid w:val="20ED71CC"/>
    <w:rsid w:val="2A796214"/>
    <w:rsid w:val="2CB12021"/>
    <w:rsid w:val="2CE660DE"/>
    <w:rsid w:val="2EC97B3C"/>
    <w:rsid w:val="2FA229ED"/>
    <w:rsid w:val="312369E2"/>
    <w:rsid w:val="38756B4B"/>
    <w:rsid w:val="3F52563E"/>
    <w:rsid w:val="41E21024"/>
    <w:rsid w:val="44211337"/>
    <w:rsid w:val="4DC537A4"/>
    <w:rsid w:val="519B7AC4"/>
    <w:rsid w:val="52BF5D78"/>
    <w:rsid w:val="52D71A9B"/>
    <w:rsid w:val="57C33CF8"/>
    <w:rsid w:val="593149A8"/>
    <w:rsid w:val="5A6537E0"/>
    <w:rsid w:val="63D32736"/>
    <w:rsid w:val="673A54E3"/>
    <w:rsid w:val="6A777273"/>
    <w:rsid w:val="6D5A5F84"/>
    <w:rsid w:val="6DAD400C"/>
    <w:rsid w:val="6EA674AC"/>
    <w:rsid w:val="71B12A1B"/>
    <w:rsid w:val="73E334BB"/>
    <w:rsid w:val="744E1267"/>
    <w:rsid w:val="74EC3B53"/>
    <w:rsid w:val="7BB50CE9"/>
    <w:rsid w:val="7BD0322B"/>
    <w:rsid w:val="7DCC49C6"/>
    <w:rsid w:val="7F3E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autoRedefine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1">
    <w:name w:val="Table Text"/>
    <w:autoRedefine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阿招</cp:lastModifiedBy>
  <dcterms:modified xsi:type="dcterms:W3CDTF">2024-04-18T07:37:30Z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3D6A4B9FBB2D41D0B82277BC4D010CBD_13</vt:lpwstr>
  </property>
</Properties>
</file>